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00" w:type="dxa"/>
        <w:tblInd w:w="83" w:type="dxa"/>
        <w:tblLook w:val="06A0" w:firstRow="1" w:lastRow="0" w:firstColumn="1" w:lastColumn="0" w:noHBand="1" w:noVBand="1"/>
      </w:tblPr>
      <w:tblGrid>
        <w:gridCol w:w="3445"/>
        <w:gridCol w:w="1710"/>
        <w:gridCol w:w="1530"/>
        <w:gridCol w:w="1610"/>
        <w:gridCol w:w="1505"/>
      </w:tblGrid>
      <w:tr w:rsidR="00A216B4" w:rsidRPr="00A216B4" w:rsidTr="00846910">
        <w:trPr>
          <w:trHeight w:val="360"/>
        </w:trPr>
        <w:tc>
          <w:tcPr>
            <w:tcW w:w="9800" w:type="dxa"/>
            <w:gridSpan w:val="5"/>
            <w:tcBorders>
              <w:top w:val="nil"/>
              <w:left w:val="nil"/>
              <w:bottom w:val="nil"/>
              <w:right w:val="nil"/>
            </w:tcBorders>
            <w:shd w:val="clear" w:color="auto" w:fill="auto"/>
            <w:vAlign w:val="bottom"/>
            <w:hideMark/>
          </w:tcPr>
          <w:p w:rsidR="00A216B4" w:rsidRPr="00A216B4" w:rsidRDefault="00A216B4" w:rsidP="00836845">
            <w:pPr>
              <w:spacing w:after="0" w:line="240" w:lineRule="auto"/>
              <w:jc w:val="center"/>
              <w:rPr>
                <w:rFonts w:ascii="Calibri" w:eastAsia="Times New Roman" w:hAnsi="Calibri" w:cs="Times New Roman"/>
                <w:b/>
                <w:bCs/>
                <w:color w:val="000000"/>
                <w:sz w:val="27"/>
                <w:szCs w:val="27"/>
              </w:rPr>
            </w:pPr>
            <w:bookmarkStart w:id="0" w:name="_GoBack"/>
            <w:bookmarkEnd w:id="0"/>
          </w:p>
        </w:tc>
      </w:tr>
      <w:tr w:rsidR="00A216B4" w:rsidRPr="00A216B4" w:rsidTr="00846910">
        <w:trPr>
          <w:trHeight w:val="300"/>
        </w:trPr>
        <w:tc>
          <w:tcPr>
            <w:tcW w:w="3445" w:type="dxa"/>
            <w:tcBorders>
              <w:top w:val="nil"/>
              <w:left w:val="nil"/>
              <w:bottom w:val="nil"/>
              <w:right w:val="nil"/>
            </w:tcBorders>
            <w:shd w:val="clear" w:color="auto" w:fill="auto"/>
            <w:noWrap/>
            <w:vAlign w:val="bottom"/>
            <w:hideMark/>
          </w:tcPr>
          <w:p w:rsidR="00A216B4" w:rsidRPr="00A216B4" w:rsidRDefault="00A216B4" w:rsidP="00836845">
            <w:pPr>
              <w:spacing w:after="0" w:line="240" w:lineRule="auto"/>
              <w:rPr>
                <w:rFonts w:ascii="Calibri" w:eastAsia="Times New Roman" w:hAnsi="Calibri" w:cs="Times New Roman"/>
                <w:color w:val="000000"/>
              </w:rPr>
            </w:pPr>
          </w:p>
        </w:tc>
        <w:tc>
          <w:tcPr>
            <w:tcW w:w="1710" w:type="dxa"/>
            <w:tcBorders>
              <w:top w:val="nil"/>
              <w:left w:val="nil"/>
              <w:bottom w:val="nil"/>
              <w:right w:val="nil"/>
            </w:tcBorders>
            <w:shd w:val="clear" w:color="auto" w:fill="auto"/>
            <w:noWrap/>
            <w:vAlign w:val="bottom"/>
            <w:hideMark/>
          </w:tcPr>
          <w:p w:rsidR="00A216B4" w:rsidRPr="00A216B4" w:rsidRDefault="00A216B4" w:rsidP="00836845">
            <w:pPr>
              <w:spacing w:after="0" w:line="240" w:lineRule="auto"/>
              <w:rPr>
                <w:rFonts w:ascii="Calibri" w:eastAsia="Times New Roman" w:hAnsi="Calibri" w:cs="Times New Roman"/>
                <w:color w:val="000000"/>
              </w:rPr>
            </w:pPr>
          </w:p>
        </w:tc>
        <w:tc>
          <w:tcPr>
            <w:tcW w:w="1530" w:type="dxa"/>
            <w:tcBorders>
              <w:top w:val="nil"/>
              <w:left w:val="nil"/>
              <w:bottom w:val="nil"/>
              <w:right w:val="nil"/>
            </w:tcBorders>
            <w:shd w:val="clear" w:color="auto" w:fill="auto"/>
            <w:noWrap/>
            <w:vAlign w:val="bottom"/>
            <w:hideMark/>
          </w:tcPr>
          <w:p w:rsidR="00A216B4" w:rsidRPr="00A216B4" w:rsidRDefault="00A216B4" w:rsidP="00836845">
            <w:pPr>
              <w:spacing w:after="0" w:line="240" w:lineRule="auto"/>
              <w:rPr>
                <w:rFonts w:ascii="Calibri" w:eastAsia="Times New Roman" w:hAnsi="Calibri" w:cs="Times New Roman"/>
                <w:color w:val="000000"/>
              </w:rPr>
            </w:pPr>
          </w:p>
        </w:tc>
        <w:tc>
          <w:tcPr>
            <w:tcW w:w="1610" w:type="dxa"/>
            <w:tcBorders>
              <w:top w:val="nil"/>
              <w:left w:val="nil"/>
              <w:bottom w:val="nil"/>
              <w:right w:val="nil"/>
            </w:tcBorders>
            <w:shd w:val="clear" w:color="auto" w:fill="auto"/>
            <w:noWrap/>
            <w:vAlign w:val="bottom"/>
            <w:hideMark/>
          </w:tcPr>
          <w:p w:rsidR="00A216B4" w:rsidRPr="00A216B4" w:rsidRDefault="00A216B4" w:rsidP="00836845">
            <w:pPr>
              <w:spacing w:after="0" w:line="240" w:lineRule="auto"/>
              <w:rPr>
                <w:rFonts w:ascii="Calibri" w:eastAsia="Times New Roman" w:hAnsi="Calibri" w:cs="Times New Roman"/>
                <w:color w:val="000000"/>
              </w:rPr>
            </w:pPr>
          </w:p>
        </w:tc>
        <w:tc>
          <w:tcPr>
            <w:tcW w:w="1505" w:type="dxa"/>
            <w:tcBorders>
              <w:top w:val="nil"/>
              <w:left w:val="nil"/>
              <w:bottom w:val="nil"/>
              <w:right w:val="nil"/>
            </w:tcBorders>
            <w:shd w:val="clear" w:color="auto" w:fill="auto"/>
            <w:noWrap/>
            <w:vAlign w:val="bottom"/>
            <w:hideMark/>
          </w:tcPr>
          <w:p w:rsidR="00A216B4" w:rsidRPr="00A216B4" w:rsidRDefault="00A216B4" w:rsidP="00836845">
            <w:pPr>
              <w:spacing w:after="0" w:line="240" w:lineRule="auto"/>
              <w:rPr>
                <w:rFonts w:ascii="Calibri" w:eastAsia="Times New Roman" w:hAnsi="Calibri" w:cs="Times New Roman"/>
                <w:color w:val="000000"/>
              </w:rPr>
            </w:pPr>
          </w:p>
        </w:tc>
      </w:tr>
      <w:tr w:rsidR="00C708AB" w:rsidRPr="00A216B4" w:rsidTr="00846910">
        <w:trPr>
          <w:trHeight w:val="300"/>
        </w:trPr>
        <w:tc>
          <w:tcPr>
            <w:tcW w:w="3445" w:type="dxa"/>
            <w:tcBorders>
              <w:top w:val="single" w:sz="4" w:space="0" w:color="000000"/>
              <w:left w:val="single" w:sz="4" w:space="0" w:color="000000"/>
              <w:bottom w:val="single" w:sz="4" w:space="0" w:color="000000"/>
              <w:right w:val="single" w:sz="4" w:space="0" w:color="000000"/>
            </w:tcBorders>
            <w:shd w:val="clear" w:color="000000" w:fill="FFFFF7"/>
            <w:hideMark/>
          </w:tcPr>
          <w:p w:rsidR="00C708AB" w:rsidRPr="00EA755C" w:rsidRDefault="00C708AB" w:rsidP="00F20556">
            <w:pPr>
              <w:spacing w:before="100" w:beforeAutospacing="1" w:after="100" w:afterAutospacing="1" w:line="240" w:lineRule="auto"/>
              <w:jc w:val="center"/>
              <w:rPr>
                <w:rFonts w:eastAsia="Times New Roman" w:cs="Times New Roman"/>
                <w:b/>
                <w:sz w:val="20"/>
                <w:szCs w:val="20"/>
              </w:rPr>
            </w:pPr>
            <w:r w:rsidRPr="00C708AB">
              <w:rPr>
                <w:rFonts w:eastAsia="Times New Roman" w:cs="Times New Roman"/>
                <w:b/>
                <w:sz w:val="20"/>
                <w:szCs w:val="20"/>
              </w:rPr>
              <w:t>CATEGORY</w:t>
            </w:r>
          </w:p>
        </w:tc>
        <w:tc>
          <w:tcPr>
            <w:tcW w:w="1710" w:type="dxa"/>
            <w:tcBorders>
              <w:top w:val="single" w:sz="4" w:space="0" w:color="000000"/>
              <w:left w:val="nil"/>
              <w:bottom w:val="single" w:sz="4" w:space="0" w:color="000000"/>
              <w:right w:val="single" w:sz="4" w:space="0" w:color="000000"/>
            </w:tcBorders>
            <w:shd w:val="clear" w:color="000000" w:fill="FFFFF7"/>
            <w:hideMark/>
          </w:tcPr>
          <w:p w:rsidR="00C708AB" w:rsidRPr="00EA755C" w:rsidRDefault="00C708AB" w:rsidP="00F20556">
            <w:pPr>
              <w:spacing w:before="100" w:beforeAutospacing="1" w:after="100" w:afterAutospacing="1" w:line="240" w:lineRule="auto"/>
              <w:jc w:val="center"/>
              <w:rPr>
                <w:rFonts w:eastAsia="Times New Roman" w:cs="Times New Roman"/>
                <w:b/>
                <w:sz w:val="20"/>
                <w:szCs w:val="20"/>
              </w:rPr>
            </w:pPr>
            <w:r w:rsidRPr="00EA755C">
              <w:rPr>
                <w:rFonts w:eastAsia="Times New Roman" w:cs="Times New Roman"/>
                <w:b/>
                <w:bCs/>
                <w:sz w:val="20"/>
                <w:szCs w:val="20"/>
              </w:rPr>
              <w:t>Unacceptable</w:t>
            </w:r>
          </w:p>
        </w:tc>
        <w:tc>
          <w:tcPr>
            <w:tcW w:w="1530" w:type="dxa"/>
            <w:tcBorders>
              <w:top w:val="single" w:sz="4" w:space="0" w:color="000000"/>
              <w:left w:val="nil"/>
              <w:bottom w:val="single" w:sz="4" w:space="0" w:color="000000"/>
              <w:right w:val="single" w:sz="4" w:space="0" w:color="000000"/>
            </w:tcBorders>
            <w:shd w:val="clear" w:color="000000" w:fill="FFFFF7"/>
            <w:hideMark/>
          </w:tcPr>
          <w:p w:rsidR="00C708AB" w:rsidRPr="00EA755C" w:rsidRDefault="00C708AB" w:rsidP="00F20556">
            <w:pPr>
              <w:spacing w:before="100" w:beforeAutospacing="1" w:after="100" w:afterAutospacing="1" w:line="240" w:lineRule="auto"/>
              <w:jc w:val="center"/>
              <w:rPr>
                <w:rFonts w:eastAsia="Times New Roman" w:cs="Times New Roman"/>
                <w:b/>
                <w:sz w:val="20"/>
                <w:szCs w:val="20"/>
              </w:rPr>
            </w:pPr>
            <w:r w:rsidRPr="00EA755C">
              <w:rPr>
                <w:rFonts w:eastAsia="Times New Roman" w:cs="Times New Roman"/>
                <w:b/>
                <w:bCs/>
                <w:sz w:val="20"/>
                <w:szCs w:val="20"/>
              </w:rPr>
              <w:t>Acceptable</w:t>
            </w:r>
          </w:p>
        </w:tc>
        <w:tc>
          <w:tcPr>
            <w:tcW w:w="1610" w:type="dxa"/>
            <w:tcBorders>
              <w:top w:val="single" w:sz="4" w:space="0" w:color="000000"/>
              <w:left w:val="nil"/>
              <w:bottom w:val="single" w:sz="4" w:space="0" w:color="000000"/>
              <w:right w:val="single" w:sz="4" w:space="0" w:color="000000"/>
            </w:tcBorders>
            <w:shd w:val="clear" w:color="000000" w:fill="FFFFF7"/>
            <w:hideMark/>
          </w:tcPr>
          <w:p w:rsidR="00C708AB" w:rsidRPr="00EA755C" w:rsidRDefault="00C708AB" w:rsidP="00F20556">
            <w:pPr>
              <w:spacing w:before="100" w:beforeAutospacing="1" w:after="100" w:afterAutospacing="1" w:line="240" w:lineRule="auto"/>
              <w:jc w:val="center"/>
              <w:rPr>
                <w:rFonts w:eastAsia="Times New Roman" w:cs="Times New Roman"/>
                <w:b/>
                <w:sz w:val="20"/>
                <w:szCs w:val="20"/>
              </w:rPr>
            </w:pPr>
            <w:r w:rsidRPr="00EA755C">
              <w:rPr>
                <w:rFonts w:eastAsia="Times New Roman" w:cs="Times New Roman"/>
                <w:b/>
                <w:bCs/>
                <w:sz w:val="20"/>
                <w:szCs w:val="20"/>
              </w:rPr>
              <w:t>Competent</w:t>
            </w:r>
          </w:p>
        </w:tc>
        <w:tc>
          <w:tcPr>
            <w:tcW w:w="1505" w:type="dxa"/>
            <w:tcBorders>
              <w:top w:val="single" w:sz="4" w:space="0" w:color="000000"/>
              <w:left w:val="nil"/>
              <w:bottom w:val="single" w:sz="4" w:space="0" w:color="000000"/>
              <w:right w:val="single" w:sz="4" w:space="0" w:color="000000"/>
            </w:tcBorders>
            <w:shd w:val="clear" w:color="000000" w:fill="FFFFF7"/>
            <w:hideMark/>
          </w:tcPr>
          <w:p w:rsidR="00C708AB" w:rsidRPr="00EA755C" w:rsidRDefault="00C708AB" w:rsidP="00F20556">
            <w:pPr>
              <w:spacing w:before="100" w:beforeAutospacing="1" w:after="100" w:afterAutospacing="1" w:line="240" w:lineRule="auto"/>
              <w:jc w:val="center"/>
              <w:rPr>
                <w:rFonts w:eastAsia="Times New Roman" w:cs="Times New Roman"/>
                <w:b/>
                <w:sz w:val="20"/>
                <w:szCs w:val="20"/>
              </w:rPr>
            </w:pPr>
            <w:r w:rsidRPr="00EA755C">
              <w:rPr>
                <w:rFonts w:eastAsia="Times New Roman" w:cs="Times New Roman"/>
                <w:b/>
                <w:bCs/>
                <w:sz w:val="20"/>
                <w:szCs w:val="20"/>
              </w:rPr>
              <w:t>Exemplary</w:t>
            </w:r>
          </w:p>
        </w:tc>
      </w:tr>
      <w:tr w:rsidR="0012717E" w:rsidRPr="00A216B4" w:rsidTr="00846910">
        <w:trPr>
          <w:trHeight w:val="432"/>
        </w:trPr>
        <w:tc>
          <w:tcPr>
            <w:tcW w:w="3445" w:type="dxa"/>
            <w:tcBorders>
              <w:top w:val="nil"/>
              <w:left w:val="single" w:sz="4" w:space="0" w:color="000000"/>
              <w:bottom w:val="single" w:sz="4" w:space="0" w:color="000000"/>
              <w:right w:val="single" w:sz="4" w:space="0" w:color="000000"/>
            </w:tcBorders>
            <w:shd w:val="clear" w:color="auto" w:fill="EEECE1" w:themeFill="background2"/>
            <w:hideMark/>
          </w:tcPr>
          <w:p w:rsidR="0012717E" w:rsidRDefault="0012717E" w:rsidP="00F20556">
            <w:pPr>
              <w:spacing w:before="100" w:beforeAutospacing="1" w:after="100" w:afterAutospacing="1" w:line="240" w:lineRule="auto"/>
              <w:rPr>
                <w:rFonts w:eastAsia="Times New Roman" w:cs="Times New Roman"/>
                <w:b/>
                <w:bCs/>
                <w:sz w:val="20"/>
                <w:szCs w:val="20"/>
              </w:rPr>
            </w:pPr>
            <w:r>
              <w:rPr>
                <w:rFonts w:eastAsia="Times New Roman" w:cs="Times New Roman"/>
                <w:b/>
                <w:bCs/>
                <w:sz w:val="20"/>
                <w:szCs w:val="20"/>
              </w:rPr>
              <w:t>Curricular Area</w:t>
            </w:r>
          </w:p>
        </w:tc>
        <w:tc>
          <w:tcPr>
            <w:tcW w:w="1710" w:type="dxa"/>
            <w:tcBorders>
              <w:top w:val="nil"/>
              <w:left w:val="nil"/>
              <w:bottom w:val="single" w:sz="4" w:space="0" w:color="000000"/>
              <w:right w:val="single" w:sz="4" w:space="0" w:color="000000"/>
            </w:tcBorders>
            <w:shd w:val="clear" w:color="auto" w:fill="EEECE1" w:themeFill="background2"/>
            <w:hideMark/>
          </w:tcPr>
          <w:p w:rsidR="0012717E" w:rsidRPr="00C708AB" w:rsidRDefault="0012717E" w:rsidP="00F20556">
            <w:pPr>
              <w:spacing w:before="100" w:beforeAutospacing="1" w:after="100" w:afterAutospacing="1" w:line="240" w:lineRule="auto"/>
              <w:jc w:val="center"/>
              <w:rPr>
                <w:rFonts w:eastAsia="Times New Roman" w:cs="Times New Roman"/>
                <w:sz w:val="20"/>
                <w:szCs w:val="20"/>
              </w:rPr>
            </w:pPr>
          </w:p>
        </w:tc>
        <w:tc>
          <w:tcPr>
            <w:tcW w:w="1530" w:type="dxa"/>
            <w:tcBorders>
              <w:top w:val="nil"/>
              <w:left w:val="nil"/>
              <w:bottom w:val="single" w:sz="4" w:space="0" w:color="000000"/>
              <w:right w:val="single" w:sz="4" w:space="0" w:color="000000"/>
            </w:tcBorders>
            <w:shd w:val="clear" w:color="auto" w:fill="EEECE1" w:themeFill="background2"/>
            <w:hideMark/>
          </w:tcPr>
          <w:p w:rsidR="0012717E" w:rsidRPr="00C708AB" w:rsidRDefault="0012717E" w:rsidP="00F20556">
            <w:pPr>
              <w:spacing w:before="100" w:beforeAutospacing="1" w:after="100" w:afterAutospacing="1" w:line="240" w:lineRule="auto"/>
              <w:jc w:val="center"/>
              <w:rPr>
                <w:rFonts w:eastAsia="Times New Roman" w:cs="Times New Roman"/>
                <w:sz w:val="20"/>
                <w:szCs w:val="20"/>
              </w:rPr>
            </w:pPr>
          </w:p>
        </w:tc>
        <w:tc>
          <w:tcPr>
            <w:tcW w:w="1610" w:type="dxa"/>
            <w:tcBorders>
              <w:top w:val="nil"/>
              <w:left w:val="nil"/>
              <w:bottom w:val="single" w:sz="4" w:space="0" w:color="000000"/>
              <w:right w:val="single" w:sz="4" w:space="0" w:color="000000"/>
            </w:tcBorders>
            <w:shd w:val="clear" w:color="auto" w:fill="EEECE1" w:themeFill="background2"/>
            <w:hideMark/>
          </w:tcPr>
          <w:p w:rsidR="0012717E" w:rsidRPr="00C708AB" w:rsidRDefault="0012717E" w:rsidP="00F20556">
            <w:pPr>
              <w:spacing w:before="100" w:beforeAutospacing="1" w:after="100" w:afterAutospacing="1" w:line="240" w:lineRule="auto"/>
              <w:jc w:val="center"/>
              <w:rPr>
                <w:rFonts w:eastAsia="Times New Roman" w:cs="Times New Roman"/>
                <w:sz w:val="20"/>
                <w:szCs w:val="20"/>
              </w:rPr>
            </w:pPr>
          </w:p>
        </w:tc>
        <w:tc>
          <w:tcPr>
            <w:tcW w:w="1505" w:type="dxa"/>
            <w:tcBorders>
              <w:top w:val="nil"/>
              <w:left w:val="nil"/>
              <w:bottom w:val="single" w:sz="4" w:space="0" w:color="000000"/>
              <w:right w:val="single" w:sz="4" w:space="0" w:color="000000"/>
            </w:tcBorders>
            <w:shd w:val="clear" w:color="auto" w:fill="EEECE1" w:themeFill="background2"/>
            <w:hideMark/>
          </w:tcPr>
          <w:p w:rsidR="0012717E" w:rsidRPr="00C708AB" w:rsidRDefault="0012717E" w:rsidP="00F20556">
            <w:pPr>
              <w:spacing w:before="100" w:beforeAutospacing="1" w:after="100" w:afterAutospacing="1" w:line="240" w:lineRule="auto"/>
              <w:jc w:val="center"/>
              <w:rPr>
                <w:rFonts w:eastAsia="Times New Roman" w:cs="Times New Roman"/>
                <w:sz w:val="20"/>
                <w:szCs w:val="20"/>
              </w:rPr>
            </w:pPr>
          </w:p>
        </w:tc>
      </w:tr>
      <w:tr w:rsidR="0012717E" w:rsidRPr="00A216B4" w:rsidTr="00846910">
        <w:trPr>
          <w:trHeight w:val="720"/>
        </w:trPr>
        <w:tc>
          <w:tcPr>
            <w:tcW w:w="3445" w:type="dxa"/>
            <w:tcBorders>
              <w:top w:val="nil"/>
              <w:left w:val="single" w:sz="4" w:space="0" w:color="000000"/>
              <w:bottom w:val="single" w:sz="4" w:space="0" w:color="000000"/>
              <w:right w:val="single" w:sz="4" w:space="0" w:color="000000"/>
            </w:tcBorders>
            <w:shd w:val="clear" w:color="auto" w:fill="auto"/>
            <w:hideMark/>
          </w:tcPr>
          <w:p w:rsidR="0012717E" w:rsidRDefault="00D11A9D" w:rsidP="00F20556">
            <w:pPr>
              <w:spacing w:before="100" w:beforeAutospacing="1" w:after="100" w:afterAutospacing="1" w:line="240" w:lineRule="auto"/>
              <w:rPr>
                <w:rFonts w:eastAsia="Times New Roman" w:cs="Times New Roman"/>
                <w:b/>
                <w:bCs/>
                <w:sz w:val="20"/>
                <w:szCs w:val="20"/>
              </w:rPr>
            </w:pPr>
            <w:r>
              <w:rPr>
                <w:rFonts w:eastAsia="Times New Roman" w:cs="Times New Roman"/>
                <w:b/>
                <w:bCs/>
                <w:sz w:val="20"/>
                <w:szCs w:val="20"/>
              </w:rPr>
              <w:t>Reading, Writing and Oral Language –</w:t>
            </w:r>
            <w:r w:rsidR="003A440A" w:rsidRPr="006627D5">
              <w:rPr>
                <w:rFonts w:eastAsia="Times New Roman" w:cs="Times New Roman"/>
                <w:bCs/>
                <w:sz w:val="20"/>
                <w:szCs w:val="20"/>
              </w:rPr>
              <w:t xml:space="preserve">Candidates demonstrate a high level of competence in the use of English language arts and they know, understand, and use concepts from reading, language and child development, to teach reading, writing, speaking, viewing, listening, and thinking skills and to help students successfully apply their developing skills to many different situations, materials, and ideas </w:t>
            </w:r>
            <w:r w:rsidRPr="00A42DC6">
              <w:rPr>
                <w:rFonts w:eastAsia="Times New Roman" w:cs="Times New Roman"/>
                <w:b/>
                <w:bCs/>
                <w:sz w:val="20"/>
                <w:szCs w:val="20"/>
              </w:rPr>
              <w:t>(ACEI 2.1)</w:t>
            </w:r>
          </w:p>
        </w:tc>
        <w:tc>
          <w:tcPr>
            <w:tcW w:w="1710" w:type="dxa"/>
            <w:tcBorders>
              <w:top w:val="nil"/>
              <w:left w:val="nil"/>
              <w:bottom w:val="single" w:sz="4" w:space="0" w:color="000000"/>
              <w:right w:val="single" w:sz="4" w:space="0" w:color="000000"/>
            </w:tcBorders>
            <w:shd w:val="clear" w:color="auto" w:fill="auto"/>
            <w:hideMark/>
          </w:tcPr>
          <w:p w:rsidR="0012717E" w:rsidRPr="00C708AB" w:rsidRDefault="00F635C4" w:rsidP="00F20556">
            <w:pPr>
              <w:spacing w:before="100" w:beforeAutospacing="1" w:after="100" w:afterAutospacing="1" w:line="240" w:lineRule="auto"/>
              <w:jc w:val="center"/>
              <w:rPr>
                <w:rFonts w:eastAsia="Times New Roman" w:cs="Times New Roman"/>
                <w:sz w:val="20"/>
                <w:szCs w:val="20"/>
              </w:rPr>
            </w:pPr>
            <w:r>
              <w:rPr>
                <w:rFonts w:eastAsia="Times New Roman" w:cs="Times New Roman"/>
                <w:sz w:val="20"/>
                <w:szCs w:val="20"/>
              </w:rPr>
              <w:t>Non-Applicable</w:t>
            </w:r>
          </w:p>
        </w:tc>
        <w:tc>
          <w:tcPr>
            <w:tcW w:w="1530" w:type="dxa"/>
            <w:tcBorders>
              <w:top w:val="nil"/>
              <w:left w:val="nil"/>
              <w:bottom w:val="single" w:sz="4" w:space="0" w:color="000000"/>
              <w:right w:val="single" w:sz="4" w:space="0" w:color="000000"/>
            </w:tcBorders>
            <w:shd w:val="clear" w:color="auto" w:fill="auto"/>
            <w:hideMark/>
          </w:tcPr>
          <w:p w:rsidR="0012717E" w:rsidRPr="00C708AB" w:rsidRDefault="0012717E" w:rsidP="00F20556">
            <w:pPr>
              <w:spacing w:before="100" w:beforeAutospacing="1" w:after="100" w:afterAutospacing="1" w:line="240" w:lineRule="auto"/>
              <w:jc w:val="center"/>
              <w:rPr>
                <w:rFonts w:eastAsia="Times New Roman" w:cs="Times New Roman"/>
                <w:sz w:val="20"/>
                <w:szCs w:val="20"/>
              </w:rPr>
            </w:pPr>
          </w:p>
        </w:tc>
        <w:tc>
          <w:tcPr>
            <w:tcW w:w="1610" w:type="dxa"/>
            <w:tcBorders>
              <w:top w:val="nil"/>
              <w:left w:val="nil"/>
              <w:bottom w:val="single" w:sz="4" w:space="0" w:color="000000"/>
              <w:right w:val="single" w:sz="4" w:space="0" w:color="000000"/>
            </w:tcBorders>
            <w:shd w:val="clear" w:color="auto" w:fill="auto"/>
            <w:hideMark/>
          </w:tcPr>
          <w:p w:rsidR="0012717E" w:rsidRPr="00C708AB" w:rsidRDefault="0012717E" w:rsidP="00F20556">
            <w:pPr>
              <w:spacing w:before="100" w:beforeAutospacing="1" w:after="100" w:afterAutospacing="1" w:line="240" w:lineRule="auto"/>
              <w:jc w:val="center"/>
              <w:rPr>
                <w:rFonts w:eastAsia="Times New Roman" w:cs="Times New Roman"/>
                <w:sz w:val="20"/>
                <w:szCs w:val="20"/>
              </w:rPr>
            </w:pPr>
          </w:p>
        </w:tc>
        <w:tc>
          <w:tcPr>
            <w:tcW w:w="1505" w:type="dxa"/>
            <w:tcBorders>
              <w:top w:val="nil"/>
              <w:left w:val="nil"/>
              <w:bottom w:val="single" w:sz="4" w:space="0" w:color="000000"/>
              <w:right w:val="single" w:sz="4" w:space="0" w:color="000000"/>
            </w:tcBorders>
            <w:shd w:val="clear" w:color="auto" w:fill="auto"/>
            <w:hideMark/>
          </w:tcPr>
          <w:p w:rsidR="0012717E" w:rsidRPr="00C708AB" w:rsidRDefault="00B15A13" w:rsidP="00F20556">
            <w:pPr>
              <w:spacing w:before="100" w:beforeAutospacing="1" w:after="100" w:afterAutospacing="1" w:line="240" w:lineRule="auto"/>
              <w:jc w:val="center"/>
              <w:rPr>
                <w:rFonts w:eastAsia="Times New Roman" w:cs="Times New Roman"/>
                <w:sz w:val="20"/>
                <w:szCs w:val="20"/>
              </w:rPr>
            </w:pPr>
            <w:r>
              <w:rPr>
                <w:rFonts w:eastAsia="Times New Roman" w:cs="Times New Roman"/>
                <w:sz w:val="20"/>
                <w:szCs w:val="20"/>
              </w:rPr>
              <w:t>Applicable</w:t>
            </w:r>
          </w:p>
        </w:tc>
      </w:tr>
      <w:tr w:rsidR="0012717E" w:rsidRPr="00A216B4" w:rsidTr="00846910">
        <w:trPr>
          <w:trHeight w:val="720"/>
        </w:trPr>
        <w:tc>
          <w:tcPr>
            <w:tcW w:w="3445" w:type="dxa"/>
            <w:tcBorders>
              <w:top w:val="nil"/>
              <w:left w:val="single" w:sz="4" w:space="0" w:color="000000"/>
              <w:bottom w:val="single" w:sz="4" w:space="0" w:color="000000"/>
              <w:right w:val="single" w:sz="4" w:space="0" w:color="000000"/>
            </w:tcBorders>
            <w:shd w:val="clear" w:color="auto" w:fill="auto"/>
            <w:hideMark/>
          </w:tcPr>
          <w:p w:rsidR="0012717E" w:rsidRDefault="00D11A9D" w:rsidP="00F20556">
            <w:pPr>
              <w:spacing w:before="100" w:beforeAutospacing="1" w:after="100" w:afterAutospacing="1" w:line="240" w:lineRule="auto"/>
              <w:rPr>
                <w:rFonts w:eastAsia="Times New Roman" w:cs="Times New Roman"/>
                <w:b/>
                <w:bCs/>
                <w:sz w:val="20"/>
                <w:szCs w:val="20"/>
              </w:rPr>
            </w:pPr>
            <w:r>
              <w:rPr>
                <w:rFonts w:eastAsia="Times New Roman" w:cs="Times New Roman"/>
                <w:b/>
                <w:bCs/>
                <w:sz w:val="20"/>
                <w:szCs w:val="20"/>
              </w:rPr>
              <w:t xml:space="preserve">Science- </w:t>
            </w:r>
            <w:r w:rsidR="003A440A" w:rsidRPr="006627D5">
              <w:rPr>
                <w:rFonts w:eastAsia="Times New Roman" w:cs="Times New Roman"/>
                <w:bCs/>
                <w:sz w:val="20"/>
                <w:szCs w:val="20"/>
              </w:rPr>
              <w:t xml:space="preserve">Candidates know, understand, and use fundamental concepts of physical, life, </w:t>
            </w:r>
            <w:r w:rsidR="00270EA9" w:rsidRPr="006627D5">
              <w:rPr>
                <w:rFonts w:eastAsia="Times New Roman" w:cs="Times New Roman"/>
                <w:bCs/>
                <w:sz w:val="20"/>
                <w:szCs w:val="20"/>
              </w:rPr>
              <w:t>and earth/space sciences.  Candidates can design and implement age-appropriate inquiry lessons to teach science, to build student understanding for personal and social applications, and to convey the nature of science.</w:t>
            </w:r>
            <w:r w:rsidRPr="006627D5">
              <w:rPr>
                <w:rFonts w:eastAsia="Times New Roman" w:cs="Times New Roman"/>
                <w:bCs/>
                <w:sz w:val="20"/>
                <w:szCs w:val="20"/>
              </w:rPr>
              <w:t xml:space="preserve">  </w:t>
            </w:r>
            <w:r w:rsidRPr="00A42DC6">
              <w:rPr>
                <w:rFonts w:eastAsia="Times New Roman" w:cs="Times New Roman"/>
                <w:b/>
                <w:bCs/>
                <w:sz w:val="20"/>
                <w:szCs w:val="20"/>
              </w:rPr>
              <w:t>(ACES 2.2)</w:t>
            </w:r>
          </w:p>
        </w:tc>
        <w:tc>
          <w:tcPr>
            <w:tcW w:w="1710" w:type="dxa"/>
            <w:tcBorders>
              <w:top w:val="nil"/>
              <w:left w:val="nil"/>
              <w:bottom w:val="single" w:sz="4" w:space="0" w:color="000000"/>
              <w:right w:val="single" w:sz="4" w:space="0" w:color="000000"/>
            </w:tcBorders>
            <w:shd w:val="clear" w:color="auto" w:fill="auto"/>
            <w:hideMark/>
          </w:tcPr>
          <w:p w:rsidR="0012717E" w:rsidRPr="00C708AB" w:rsidRDefault="00F635C4" w:rsidP="00F20556">
            <w:pPr>
              <w:spacing w:before="100" w:beforeAutospacing="1" w:after="100" w:afterAutospacing="1" w:line="240" w:lineRule="auto"/>
              <w:jc w:val="center"/>
              <w:rPr>
                <w:rFonts w:eastAsia="Times New Roman" w:cs="Times New Roman"/>
                <w:sz w:val="20"/>
                <w:szCs w:val="20"/>
              </w:rPr>
            </w:pPr>
            <w:r>
              <w:rPr>
                <w:rFonts w:eastAsia="Times New Roman" w:cs="Times New Roman"/>
                <w:sz w:val="20"/>
                <w:szCs w:val="20"/>
              </w:rPr>
              <w:t>Non-Applicable</w:t>
            </w:r>
          </w:p>
        </w:tc>
        <w:tc>
          <w:tcPr>
            <w:tcW w:w="1530" w:type="dxa"/>
            <w:tcBorders>
              <w:top w:val="nil"/>
              <w:left w:val="nil"/>
              <w:bottom w:val="single" w:sz="4" w:space="0" w:color="000000"/>
              <w:right w:val="single" w:sz="4" w:space="0" w:color="000000"/>
            </w:tcBorders>
            <w:shd w:val="clear" w:color="auto" w:fill="auto"/>
            <w:hideMark/>
          </w:tcPr>
          <w:p w:rsidR="0012717E" w:rsidRPr="00C708AB" w:rsidRDefault="0012717E" w:rsidP="00F20556">
            <w:pPr>
              <w:spacing w:before="100" w:beforeAutospacing="1" w:after="100" w:afterAutospacing="1" w:line="240" w:lineRule="auto"/>
              <w:jc w:val="center"/>
              <w:rPr>
                <w:rFonts w:eastAsia="Times New Roman" w:cs="Times New Roman"/>
                <w:sz w:val="20"/>
                <w:szCs w:val="20"/>
              </w:rPr>
            </w:pPr>
          </w:p>
        </w:tc>
        <w:tc>
          <w:tcPr>
            <w:tcW w:w="1610" w:type="dxa"/>
            <w:tcBorders>
              <w:top w:val="nil"/>
              <w:left w:val="nil"/>
              <w:bottom w:val="single" w:sz="4" w:space="0" w:color="000000"/>
              <w:right w:val="single" w:sz="4" w:space="0" w:color="000000"/>
            </w:tcBorders>
            <w:shd w:val="clear" w:color="auto" w:fill="auto"/>
            <w:hideMark/>
          </w:tcPr>
          <w:p w:rsidR="0012717E" w:rsidRPr="00C708AB" w:rsidRDefault="0012717E" w:rsidP="00F20556">
            <w:pPr>
              <w:spacing w:before="100" w:beforeAutospacing="1" w:after="100" w:afterAutospacing="1" w:line="240" w:lineRule="auto"/>
              <w:jc w:val="center"/>
              <w:rPr>
                <w:rFonts w:eastAsia="Times New Roman" w:cs="Times New Roman"/>
                <w:sz w:val="20"/>
                <w:szCs w:val="20"/>
              </w:rPr>
            </w:pPr>
          </w:p>
        </w:tc>
        <w:tc>
          <w:tcPr>
            <w:tcW w:w="1505" w:type="dxa"/>
            <w:tcBorders>
              <w:top w:val="nil"/>
              <w:left w:val="nil"/>
              <w:bottom w:val="single" w:sz="4" w:space="0" w:color="000000"/>
              <w:right w:val="single" w:sz="4" w:space="0" w:color="000000"/>
            </w:tcBorders>
            <w:shd w:val="clear" w:color="auto" w:fill="auto"/>
            <w:hideMark/>
          </w:tcPr>
          <w:p w:rsidR="0012717E" w:rsidRPr="00C708AB" w:rsidRDefault="00B15A13" w:rsidP="00F20556">
            <w:pPr>
              <w:spacing w:before="100" w:beforeAutospacing="1" w:after="100" w:afterAutospacing="1" w:line="240" w:lineRule="auto"/>
              <w:jc w:val="center"/>
              <w:rPr>
                <w:rFonts w:eastAsia="Times New Roman" w:cs="Times New Roman"/>
                <w:sz w:val="20"/>
                <w:szCs w:val="20"/>
              </w:rPr>
            </w:pPr>
            <w:r>
              <w:rPr>
                <w:rFonts w:eastAsia="Times New Roman" w:cs="Times New Roman"/>
                <w:sz w:val="20"/>
                <w:szCs w:val="20"/>
              </w:rPr>
              <w:t>Applicable</w:t>
            </w:r>
          </w:p>
        </w:tc>
      </w:tr>
      <w:tr w:rsidR="0012717E" w:rsidRPr="00A216B4" w:rsidTr="00846910">
        <w:trPr>
          <w:trHeight w:val="720"/>
        </w:trPr>
        <w:tc>
          <w:tcPr>
            <w:tcW w:w="3445" w:type="dxa"/>
            <w:tcBorders>
              <w:top w:val="nil"/>
              <w:left w:val="single" w:sz="4" w:space="0" w:color="000000"/>
              <w:bottom w:val="single" w:sz="4" w:space="0" w:color="000000"/>
              <w:right w:val="single" w:sz="4" w:space="0" w:color="000000"/>
            </w:tcBorders>
            <w:shd w:val="clear" w:color="auto" w:fill="auto"/>
            <w:hideMark/>
          </w:tcPr>
          <w:p w:rsidR="0012717E" w:rsidRDefault="00D11A9D" w:rsidP="00F20556">
            <w:pPr>
              <w:spacing w:before="100" w:beforeAutospacing="1" w:after="100" w:afterAutospacing="1" w:line="240" w:lineRule="auto"/>
              <w:rPr>
                <w:rFonts w:eastAsia="Times New Roman" w:cs="Times New Roman"/>
                <w:b/>
                <w:bCs/>
                <w:sz w:val="20"/>
                <w:szCs w:val="20"/>
              </w:rPr>
            </w:pPr>
            <w:r>
              <w:rPr>
                <w:rFonts w:eastAsia="Times New Roman" w:cs="Times New Roman"/>
                <w:b/>
                <w:bCs/>
                <w:sz w:val="20"/>
                <w:szCs w:val="20"/>
              </w:rPr>
              <w:t xml:space="preserve">Mathematics </w:t>
            </w:r>
            <w:r w:rsidR="00270EA9" w:rsidRPr="00682B60">
              <w:rPr>
                <w:rFonts w:eastAsia="Times New Roman" w:cs="Times New Roman"/>
                <w:bCs/>
                <w:sz w:val="20"/>
                <w:szCs w:val="20"/>
              </w:rPr>
              <w:t>– Candidates know</w:t>
            </w:r>
            <w:r w:rsidR="00270EA9">
              <w:rPr>
                <w:rFonts w:eastAsia="Times New Roman" w:cs="Times New Roman"/>
                <w:b/>
                <w:bCs/>
                <w:sz w:val="20"/>
                <w:szCs w:val="20"/>
              </w:rPr>
              <w:t xml:space="preserve">, </w:t>
            </w:r>
            <w:r w:rsidR="00270EA9" w:rsidRPr="00682B60">
              <w:rPr>
                <w:rFonts w:eastAsia="Times New Roman" w:cs="Times New Roman"/>
                <w:bCs/>
                <w:sz w:val="20"/>
                <w:szCs w:val="20"/>
              </w:rPr>
              <w:t>understand, and</w:t>
            </w:r>
            <w:r w:rsidR="00270EA9">
              <w:rPr>
                <w:rFonts w:eastAsia="Times New Roman" w:cs="Times New Roman"/>
                <w:b/>
                <w:bCs/>
                <w:sz w:val="20"/>
                <w:szCs w:val="20"/>
              </w:rPr>
              <w:t xml:space="preserve"> </w:t>
            </w:r>
            <w:r w:rsidR="00270EA9" w:rsidRPr="00711886">
              <w:rPr>
                <w:rFonts w:eastAsia="Times New Roman" w:cs="Times New Roman"/>
                <w:bCs/>
                <w:sz w:val="20"/>
                <w:szCs w:val="20"/>
              </w:rPr>
              <w:t>use the major concepts and procedures that define number and operations, algebra, geometry, measurement, and data analysis and probability.  In doing so they consistently engage problem solving, reasoning and proof, communication, connections, and representation.</w:t>
            </w:r>
            <w:r w:rsidRPr="00711886">
              <w:rPr>
                <w:rFonts w:eastAsia="Times New Roman" w:cs="Times New Roman"/>
                <w:bCs/>
                <w:sz w:val="20"/>
                <w:szCs w:val="20"/>
              </w:rPr>
              <w:t xml:space="preserve">  </w:t>
            </w:r>
            <w:r w:rsidRPr="00474351">
              <w:rPr>
                <w:rFonts w:eastAsia="Times New Roman" w:cs="Times New Roman"/>
                <w:b/>
                <w:bCs/>
                <w:sz w:val="20"/>
                <w:szCs w:val="20"/>
              </w:rPr>
              <w:t>(ACEI 2.3)</w:t>
            </w:r>
          </w:p>
        </w:tc>
        <w:tc>
          <w:tcPr>
            <w:tcW w:w="1710" w:type="dxa"/>
            <w:tcBorders>
              <w:top w:val="nil"/>
              <w:left w:val="nil"/>
              <w:bottom w:val="single" w:sz="4" w:space="0" w:color="000000"/>
              <w:right w:val="single" w:sz="4" w:space="0" w:color="000000"/>
            </w:tcBorders>
            <w:shd w:val="clear" w:color="auto" w:fill="auto"/>
            <w:hideMark/>
          </w:tcPr>
          <w:p w:rsidR="0012717E" w:rsidRPr="00C708AB" w:rsidRDefault="00F635C4" w:rsidP="00F20556">
            <w:pPr>
              <w:spacing w:before="100" w:beforeAutospacing="1" w:after="100" w:afterAutospacing="1" w:line="240" w:lineRule="auto"/>
              <w:jc w:val="center"/>
              <w:rPr>
                <w:rFonts w:eastAsia="Times New Roman" w:cs="Times New Roman"/>
                <w:sz w:val="20"/>
                <w:szCs w:val="20"/>
              </w:rPr>
            </w:pPr>
            <w:r>
              <w:rPr>
                <w:rFonts w:eastAsia="Times New Roman" w:cs="Times New Roman"/>
                <w:sz w:val="20"/>
                <w:szCs w:val="20"/>
              </w:rPr>
              <w:t>Non-Applicable</w:t>
            </w:r>
          </w:p>
        </w:tc>
        <w:tc>
          <w:tcPr>
            <w:tcW w:w="1530" w:type="dxa"/>
            <w:tcBorders>
              <w:top w:val="nil"/>
              <w:left w:val="nil"/>
              <w:bottom w:val="single" w:sz="4" w:space="0" w:color="000000"/>
              <w:right w:val="single" w:sz="4" w:space="0" w:color="000000"/>
            </w:tcBorders>
            <w:shd w:val="clear" w:color="auto" w:fill="auto"/>
            <w:hideMark/>
          </w:tcPr>
          <w:p w:rsidR="0012717E" w:rsidRPr="00C708AB" w:rsidRDefault="0012717E" w:rsidP="00F20556">
            <w:pPr>
              <w:spacing w:before="100" w:beforeAutospacing="1" w:after="100" w:afterAutospacing="1" w:line="240" w:lineRule="auto"/>
              <w:jc w:val="center"/>
              <w:rPr>
                <w:rFonts w:eastAsia="Times New Roman" w:cs="Times New Roman"/>
                <w:sz w:val="20"/>
                <w:szCs w:val="20"/>
              </w:rPr>
            </w:pPr>
          </w:p>
        </w:tc>
        <w:tc>
          <w:tcPr>
            <w:tcW w:w="1610" w:type="dxa"/>
            <w:tcBorders>
              <w:top w:val="nil"/>
              <w:left w:val="nil"/>
              <w:bottom w:val="single" w:sz="4" w:space="0" w:color="000000"/>
              <w:right w:val="single" w:sz="4" w:space="0" w:color="000000"/>
            </w:tcBorders>
            <w:shd w:val="clear" w:color="auto" w:fill="auto"/>
            <w:hideMark/>
          </w:tcPr>
          <w:p w:rsidR="0012717E" w:rsidRPr="00C708AB" w:rsidRDefault="0012717E" w:rsidP="00F20556">
            <w:pPr>
              <w:spacing w:before="100" w:beforeAutospacing="1" w:after="100" w:afterAutospacing="1" w:line="240" w:lineRule="auto"/>
              <w:jc w:val="center"/>
              <w:rPr>
                <w:rFonts w:eastAsia="Times New Roman" w:cs="Times New Roman"/>
                <w:sz w:val="20"/>
                <w:szCs w:val="20"/>
              </w:rPr>
            </w:pPr>
          </w:p>
        </w:tc>
        <w:tc>
          <w:tcPr>
            <w:tcW w:w="1505" w:type="dxa"/>
            <w:tcBorders>
              <w:top w:val="nil"/>
              <w:left w:val="nil"/>
              <w:bottom w:val="single" w:sz="4" w:space="0" w:color="000000"/>
              <w:right w:val="single" w:sz="4" w:space="0" w:color="000000"/>
            </w:tcBorders>
            <w:shd w:val="clear" w:color="auto" w:fill="auto"/>
            <w:hideMark/>
          </w:tcPr>
          <w:p w:rsidR="0012717E" w:rsidRPr="00C708AB" w:rsidRDefault="00B15A13" w:rsidP="00F20556">
            <w:pPr>
              <w:spacing w:before="100" w:beforeAutospacing="1" w:after="100" w:afterAutospacing="1" w:line="240" w:lineRule="auto"/>
              <w:jc w:val="center"/>
              <w:rPr>
                <w:rFonts w:eastAsia="Times New Roman" w:cs="Times New Roman"/>
                <w:sz w:val="20"/>
                <w:szCs w:val="20"/>
              </w:rPr>
            </w:pPr>
            <w:r>
              <w:rPr>
                <w:rFonts w:eastAsia="Times New Roman" w:cs="Times New Roman"/>
                <w:sz w:val="20"/>
                <w:szCs w:val="20"/>
              </w:rPr>
              <w:t>Applicable</w:t>
            </w:r>
          </w:p>
        </w:tc>
      </w:tr>
      <w:tr w:rsidR="0012717E" w:rsidRPr="00A216B4" w:rsidTr="00846910">
        <w:trPr>
          <w:trHeight w:val="720"/>
        </w:trPr>
        <w:tc>
          <w:tcPr>
            <w:tcW w:w="3445" w:type="dxa"/>
            <w:tcBorders>
              <w:top w:val="nil"/>
              <w:left w:val="single" w:sz="4" w:space="0" w:color="000000"/>
              <w:bottom w:val="single" w:sz="4" w:space="0" w:color="000000"/>
              <w:right w:val="single" w:sz="4" w:space="0" w:color="000000"/>
            </w:tcBorders>
            <w:shd w:val="clear" w:color="auto" w:fill="auto"/>
            <w:hideMark/>
          </w:tcPr>
          <w:p w:rsidR="0012717E" w:rsidRDefault="00D11A9D" w:rsidP="00F20556">
            <w:pPr>
              <w:spacing w:before="100" w:beforeAutospacing="1" w:after="100" w:afterAutospacing="1" w:line="240" w:lineRule="auto"/>
              <w:rPr>
                <w:rFonts w:eastAsia="Times New Roman" w:cs="Times New Roman"/>
                <w:b/>
                <w:bCs/>
                <w:sz w:val="20"/>
                <w:szCs w:val="20"/>
              </w:rPr>
            </w:pPr>
            <w:r>
              <w:rPr>
                <w:rFonts w:eastAsia="Times New Roman" w:cs="Times New Roman"/>
                <w:b/>
                <w:bCs/>
                <w:sz w:val="20"/>
                <w:szCs w:val="20"/>
              </w:rPr>
              <w:t xml:space="preserve">Social studies </w:t>
            </w:r>
            <w:r w:rsidR="00270EA9" w:rsidRPr="00711886">
              <w:rPr>
                <w:rFonts w:eastAsia="Times New Roman" w:cs="Times New Roman"/>
                <w:bCs/>
                <w:sz w:val="20"/>
                <w:szCs w:val="20"/>
              </w:rPr>
              <w:t>– Candidates know, understand, and use the major concepts and modes of inquiry from the social studies—the integrated study of history</w:t>
            </w:r>
            <w:r w:rsidR="00AC3A1F">
              <w:rPr>
                <w:rFonts w:eastAsia="Times New Roman" w:cs="Times New Roman"/>
                <w:bCs/>
                <w:sz w:val="20"/>
                <w:szCs w:val="20"/>
              </w:rPr>
              <w:t xml:space="preserve">, </w:t>
            </w:r>
            <w:r w:rsidR="00270EA9" w:rsidRPr="00711886">
              <w:rPr>
                <w:rFonts w:eastAsia="Times New Roman" w:cs="Times New Roman"/>
                <w:bCs/>
                <w:sz w:val="20"/>
                <w:szCs w:val="20"/>
              </w:rPr>
              <w:t>geography, the social sciences, and other related areas—to promote elementary students’ abilities to make informed decisions as citizens of a culturally diverse democratic society and interdependent world.</w:t>
            </w:r>
            <w:r w:rsidRPr="00711886">
              <w:rPr>
                <w:rFonts w:eastAsia="Times New Roman" w:cs="Times New Roman"/>
                <w:bCs/>
                <w:sz w:val="20"/>
                <w:szCs w:val="20"/>
              </w:rPr>
              <w:t xml:space="preserve">  </w:t>
            </w:r>
            <w:r w:rsidRPr="00474351">
              <w:rPr>
                <w:rFonts w:eastAsia="Times New Roman" w:cs="Times New Roman"/>
                <w:b/>
                <w:bCs/>
                <w:sz w:val="20"/>
                <w:szCs w:val="20"/>
              </w:rPr>
              <w:t>(ACEI 2.4)</w:t>
            </w:r>
          </w:p>
        </w:tc>
        <w:tc>
          <w:tcPr>
            <w:tcW w:w="1710" w:type="dxa"/>
            <w:tcBorders>
              <w:top w:val="nil"/>
              <w:left w:val="nil"/>
              <w:bottom w:val="single" w:sz="4" w:space="0" w:color="000000"/>
              <w:right w:val="single" w:sz="4" w:space="0" w:color="000000"/>
            </w:tcBorders>
            <w:shd w:val="clear" w:color="auto" w:fill="auto"/>
            <w:hideMark/>
          </w:tcPr>
          <w:p w:rsidR="0012717E" w:rsidRPr="00C708AB" w:rsidRDefault="00B15A13" w:rsidP="00F20556">
            <w:pPr>
              <w:spacing w:before="100" w:beforeAutospacing="1" w:after="100" w:afterAutospacing="1" w:line="240" w:lineRule="auto"/>
              <w:jc w:val="center"/>
              <w:rPr>
                <w:rFonts w:eastAsia="Times New Roman" w:cs="Times New Roman"/>
                <w:sz w:val="20"/>
                <w:szCs w:val="20"/>
              </w:rPr>
            </w:pPr>
            <w:r>
              <w:rPr>
                <w:rFonts w:eastAsia="Times New Roman" w:cs="Times New Roman"/>
                <w:sz w:val="20"/>
                <w:szCs w:val="20"/>
              </w:rPr>
              <w:t>Non-Applicable</w:t>
            </w:r>
          </w:p>
        </w:tc>
        <w:tc>
          <w:tcPr>
            <w:tcW w:w="1530" w:type="dxa"/>
            <w:tcBorders>
              <w:top w:val="nil"/>
              <w:left w:val="nil"/>
              <w:bottom w:val="single" w:sz="4" w:space="0" w:color="000000"/>
              <w:right w:val="single" w:sz="4" w:space="0" w:color="000000"/>
            </w:tcBorders>
            <w:shd w:val="clear" w:color="auto" w:fill="auto"/>
            <w:hideMark/>
          </w:tcPr>
          <w:p w:rsidR="0012717E" w:rsidRPr="00C708AB" w:rsidRDefault="0012717E" w:rsidP="00F20556">
            <w:pPr>
              <w:spacing w:before="100" w:beforeAutospacing="1" w:after="100" w:afterAutospacing="1" w:line="240" w:lineRule="auto"/>
              <w:jc w:val="center"/>
              <w:rPr>
                <w:rFonts w:eastAsia="Times New Roman" w:cs="Times New Roman"/>
                <w:sz w:val="20"/>
                <w:szCs w:val="20"/>
              </w:rPr>
            </w:pPr>
          </w:p>
        </w:tc>
        <w:tc>
          <w:tcPr>
            <w:tcW w:w="1610" w:type="dxa"/>
            <w:tcBorders>
              <w:top w:val="nil"/>
              <w:left w:val="nil"/>
              <w:bottom w:val="single" w:sz="4" w:space="0" w:color="000000"/>
              <w:right w:val="single" w:sz="4" w:space="0" w:color="000000"/>
            </w:tcBorders>
            <w:shd w:val="clear" w:color="auto" w:fill="auto"/>
            <w:hideMark/>
          </w:tcPr>
          <w:p w:rsidR="0012717E" w:rsidRPr="00C708AB" w:rsidRDefault="0012717E" w:rsidP="00F20556">
            <w:pPr>
              <w:spacing w:before="100" w:beforeAutospacing="1" w:after="100" w:afterAutospacing="1" w:line="240" w:lineRule="auto"/>
              <w:jc w:val="center"/>
              <w:rPr>
                <w:rFonts w:eastAsia="Times New Roman" w:cs="Times New Roman"/>
                <w:sz w:val="20"/>
                <w:szCs w:val="20"/>
              </w:rPr>
            </w:pPr>
          </w:p>
        </w:tc>
        <w:tc>
          <w:tcPr>
            <w:tcW w:w="1505" w:type="dxa"/>
            <w:tcBorders>
              <w:top w:val="nil"/>
              <w:left w:val="nil"/>
              <w:bottom w:val="single" w:sz="4" w:space="0" w:color="000000"/>
              <w:right w:val="single" w:sz="4" w:space="0" w:color="000000"/>
            </w:tcBorders>
            <w:shd w:val="clear" w:color="auto" w:fill="auto"/>
            <w:hideMark/>
          </w:tcPr>
          <w:p w:rsidR="0012717E" w:rsidRPr="00C708AB" w:rsidRDefault="00B15A13" w:rsidP="00F20556">
            <w:pPr>
              <w:spacing w:before="100" w:beforeAutospacing="1" w:after="100" w:afterAutospacing="1" w:line="240" w:lineRule="auto"/>
              <w:jc w:val="center"/>
              <w:rPr>
                <w:rFonts w:eastAsia="Times New Roman" w:cs="Times New Roman"/>
                <w:sz w:val="20"/>
                <w:szCs w:val="20"/>
              </w:rPr>
            </w:pPr>
            <w:r>
              <w:rPr>
                <w:rFonts w:eastAsia="Times New Roman" w:cs="Times New Roman"/>
                <w:sz w:val="20"/>
                <w:szCs w:val="20"/>
              </w:rPr>
              <w:t>Applicable</w:t>
            </w:r>
          </w:p>
        </w:tc>
      </w:tr>
      <w:tr w:rsidR="00D11A9D" w:rsidRPr="00A216B4" w:rsidTr="00846910">
        <w:trPr>
          <w:trHeight w:val="720"/>
        </w:trPr>
        <w:tc>
          <w:tcPr>
            <w:tcW w:w="3445" w:type="dxa"/>
            <w:tcBorders>
              <w:top w:val="nil"/>
              <w:left w:val="single" w:sz="4" w:space="0" w:color="000000"/>
              <w:bottom w:val="single" w:sz="4" w:space="0" w:color="000000"/>
              <w:right w:val="single" w:sz="4" w:space="0" w:color="000000"/>
            </w:tcBorders>
            <w:shd w:val="clear" w:color="auto" w:fill="auto"/>
            <w:hideMark/>
          </w:tcPr>
          <w:p w:rsidR="00D11A9D" w:rsidRDefault="00D11A9D" w:rsidP="00F20556">
            <w:pPr>
              <w:spacing w:before="100" w:beforeAutospacing="1" w:after="100" w:afterAutospacing="1" w:line="240" w:lineRule="auto"/>
              <w:rPr>
                <w:rFonts w:eastAsia="Times New Roman" w:cs="Times New Roman"/>
                <w:b/>
                <w:bCs/>
                <w:sz w:val="20"/>
                <w:szCs w:val="20"/>
              </w:rPr>
            </w:pPr>
            <w:r>
              <w:rPr>
                <w:rFonts w:eastAsia="Times New Roman" w:cs="Times New Roman"/>
                <w:b/>
                <w:bCs/>
                <w:sz w:val="20"/>
                <w:szCs w:val="20"/>
              </w:rPr>
              <w:t xml:space="preserve">Fine Arts </w:t>
            </w:r>
            <w:r w:rsidR="0057456A">
              <w:rPr>
                <w:rFonts w:eastAsia="Times New Roman" w:cs="Times New Roman"/>
                <w:b/>
                <w:bCs/>
                <w:sz w:val="20"/>
                <w:szCs w:val="20"/>
              </w:rPr>
              <w:t xml:space="preserve"> - </w:t>
            </w:r>
            <w:r w:rsidR="0057456A" w:rsidRPr="00682B60">
              <w:rPr>
                <w:rFonts w:eastAsia="Times New Roman" w:cs="Times New Roman"/>
                <w:bCs/>
                <w:sz w:val="20"/>
                <w:szCs w:val="20"/>
              </w:rPr>
              <w:t>Candidates know, understand, and use—as appropriate to their own understanding and skills—the content, functions, and achievements of the performing arts</w:t>
            </w:r>
            <w:r w:rsidR="0057456A">
              <w:rPr>
                <w:rFonts w:eastAsia="Times New Roman" w:cs="Times New Roman"/>
                <w:b/>
                <w:bCs/>
                <w:sz w:val="20"/>
                <w:szCs w:val="20"/>
              </w:rPr>
              <w:t xml:space="preserve"> </w:t>
            </w:r>
            <w:r w:rsidR="0057456A" w:rsidRPr="00682B60">
              <w:rPr>
                <w:rFonts w:eastAsia="Times New Roman" w:cs="Times New Roman"/>
                <w:bCs/>
                <w:sz w:val="20"/>
                <w:szCs w:val="20"/>
              </w:rPr>
              <w:lastRenderedPageBreak/>
              <w:t>(dance, music, theater) and the visual arts as primary media for communication, inquiry, and engagement among elementary students.</w:t>
            </w:r>
            <w:r w:rsidRPr="00682B60">
              <w:rPr>
                <w:rFonts w:eastAsia="Times New Roman" w:cs="Times New Roman"/>
                <w:bCs/>
                <w:sz w:val="20"/>
                <w:szCs w:val="20"/>
              </w:rPr>
              <w:t xml:space="preserve">  </w:t>
            </w:r>
            <w:r w:rsidRPr="00474351">
              <w:rPr>
                <w:rFonts w:eastAsia="Times New Roman" w:cs="Times New Roman"/>
                <w:b/>
                <w:bCs/>
                <w:sz w:val="20"/>
                <w:szCs w:val="20"/>
              </w:rPr>
              <w:t>(ACEI 2.5</w:t>
            </w:r>
          </w:p>
        </w:tc>
        <w:tc>
          <w:tcPr>
            <w:tcW w:w="1710" w:type="dxa"/>
            <w:tcBorders>
              <w:top w:val="nil"/>
              <w:left w:val="nil"/>
              <w:bottom w:val="single" w:sz="4" w:space="0" w:color="000000"/>
              <w:right w:val="single" w:sz="4" w:space="0" w:color="000000"/>
            </w:tcBorders>
            <w:shd w:val="clear" w:color="auto" w:fill="auto"/>
            <w:hideMark/>
          </w:tcPr>
          <w:p w:rsidR="00D11A9D" w:rsidRPr="00C708AB" w:rsidRDefault="00B15A13" w:rsidP="00F20556">
            <w:pPr>
              <w:spacing w:before="100" w:beforeAutospacing="1" w:after="100" w:afterAutospacing="1" w:line="240" w:lineRule="auto"/>
              <w:jc w:val="center"/>
              <w:rPr>
                <w:rFonts w:eastAsia="Times New Roman" w:cs="Times New Roman"/>
                <w:sz w:val="20"/>
                <w:szCs w:val="20"/>
              </w:rPr>
            </w:pPr>
            <w:r>
              <w:rPr>
                <w:rFonts w:eastAsia="Times New Roman" w:cs="Times New Roman"/>
                <w:sz w:val="20"/>
                <w:szCs w:val="20"/>
              </w:rPr>
              <w:lastRenderedPageBreak/>
              <w:t>Non-Applicable</w:t>
            </w:r>
          </w:p>
        </w:tc>
        <w:tc>
          <w:tcPr>
            <w:tcW w:w="1530" w:type="dxa"/>
            <w:tcBorders>
              <w:top w:val="nil"/>
              <w:left w:val="nil"/>
              <w:bottom w:val="single" w:sz="4" w:space="0" w:color="000000"/>
              <w:right w:val="single" w:sz="4" w:space="0" w:color="000000"/>
            </w:tcBorders>
            <w:shd w:val="clear" w:color="auto" w:fill="auto"/>
            <w:hideMark/>
          </w:tcPr>
          <w:p w:rsidR="00D11A9D" w:rsidRPr="00C708AB" w:rsidRDefault="00D11A9D" w:rsidP="00F20556">
            <w:pPr>
              <w:spacing w:before="100" w:beforeAutospacing="1" w:after="100" w:afterAutospacing="1" w:line="240" w:lineRule="auto"/>
              <w:jc w:val="center"/>
              <w:rPr>
                <w:rFonts w:eastAsia="Times New Roman" w:cs="Times New Roman"/>
                <w:sz w:val="20"/>
                <w:szCs w:val="20"/>
              </w:rPr>
            </w:pPr>
          </w:p>
        </w:tc>
        <w:tc>
          <w:tcPr>
            <w:tcW w:w="1610" w:type="dxa"/>
            <w:tcBorders>
              <w:top w:val="nil"/>
              <w:left w:val="nil"/>
              <w:bottom w:val="single" w:sz="4" w:space="0" w:color="000000"/>
              <w:right w:val="single" w:sz="4" w:space="0" w:color="000000"/>
            </w:tcBorders>
            <w:shd w:val="clear" w:color="auto" w:fill="auto"/>
            <w:hideMark/>
          </w:tcPr>
          <w:p w:rsidR="00D11A9D" w:rsidRPr="00C708AB" w:rsidRDefault="00D11A9D" w:rsidP="00F20556">
            <w:pPr>
              <w:spacing w:before="100" w:beforeAutospacing="1" w:after="100" w:afterAutospacing="1" w:line="240" w:lineRule="auto"/>
              <w:jc w:val="center"/>
              <w:rPr>
                <w:rFonts w:eastAsia="Times New Roman" w:cs="Times New Roman"/>
                <w:sz w:val="20"/>
                <w:szCs w:val="20"/>
              </w:rPr>
            </w:pPr>
          </w:p>
        </w:tc>
        <w:tc>
          <w:tcPr>
            <w:tcW w:w="1505" w:type="dxa"/>
            <w:tcBorders>
              <w:top w:val="nil"/>
              <w:left w:val="nil"/>
              <w:bottom w:val="single" w:sz="4" w:space="0" w:color="000000"/>
              <w:right w:val="single" w:sz="4" w:space="0" w:color="000000"/>
            </w:tcBorders>
            <w:shd w:val="clear" w:color="auto" w:fill="auto"/>
            <w:hideMark/>
          </w:tcPr>
          <w:p w:rsidR="00D11A9D" w:rsidRPr="00C708AB" w:rsidRDefault="00B15A13" w:rsidP="00F20556">
            <w:pPr>
              <w:spacing w:before="100" w:beforeAutospacing="1" w:after="100" w:afterAutospacing="1" w:line="240" w:lineRule="auto"/>
              <w:jc w:val="center"/>
              <w:rPr>
                <w:rFonts w:eastAsia="Times New Roman" w:cs="Times New Roman"/>
                <w:sz w:val="20"/>
                <w:szCs w:val="20"/>
              </w:rPr>
            </w:pPr>
            <w:r>
              <w:rPr>
                <w:rFonts w:eastAsia="Times New Roman" w:cs="Times New Roman"/>
                <w:sz w:val="20"/>
                <w:szCs w:val="20"/>
              </w:rPr>
              <w:t>Applicable</w:t>
            </w:r>
          </w:p>
        </w:tc>
      </w:tr>
      <w:tr w:rsidR="00D11A9D" w:rsidRPr="00A216B4" w:rsidTr="00846910">
        <w:trPr>
          <w:trHeight w:val="720"/>
        </w:trPr>
        <w:tc>
          <w:tcPr>
            <w:tcW w:w="3445" w:type="dxa"/>
            <w:tcBorders>
              <w:top w:val="nil"/>
              <w:left w:val="single" w:sz="4" w:space="0" w:color="000000"/>
              <w:bottom w:val="single" w:sz="4" w:space="0" w:color="000000"/>
              <w:right w:val="single" w:sz="4" w:space="0" w:color="000000"/>
            </w:tcBorders>
            <w:shd w:val="clear" w:color="auto" w:fill="auto"/>
            <w:hideMark/>
          </w:tcPr>
          <w:p w:rsidR="00D11A9D" w:rsidRDefault="00D11A9D" w:rsidP="00F20556">
            <w:pPr>
              <w:spacing w:before="100" w:beforeAutospacing="1" w:after="100" w:afterAutospacing="1" w:line="240" w:lineRule="auto"/>
              <w:rPr>
                <w:rFonts w:eastAsia="Times New Roman" w:cs="Times New Roman"/>
                <w:b/>
                <w:bCs/>
                <w:sz w:val="20"/>
                <w:szCs w:val="20"/>
              </w:rPr>
            </w:pPr>
            <w:r>
              <w:rPr>
                <w:rFonts w:eastAsia="Times New Roman" w:cs="Times New Roman"/>
                <w:b/>
                <w:bCs/>
                <w:sz w:val="20"/>
                <w:szCs w:val="20"/>
              </w:rPr>
              <w:t xml:space="preserve">Health education </w:t>
            </w:r>
            <w:r w:rsidR="0057456A" w:rsidRPr="00682B60">
              <w:rPr>
                <w:rFonts w:eastAsia="Times New Roman" w:cs="Times New Roman"/>
                <w:bCs/>
                <w:sz w:val="20"/>
                <w:szCs w:val="20"/>
              </w:rPr>
              <w:t>– Candidates know, understand, and use the major concepts in the subject matter of health education to create opportunities for student development and practice of skills that contribute to good health.</w:t>
            </w:r>
            <w:r w:rsidRPr="00682B60">
              <w:rPr>
                <w:rFonts w:eastAsia="Times New Roman" w:cs="Times New Roman"/>
                <w:bCs/>
                <w:sz w:val="20"/>
                <w:szCs w:val="20"/>
              </w:rPr>
              <w:t xml:space="preserve"> </w:t>
            </w:r>
            <w:r w:rsidRPr="00474351">
              <w:rPr>
                <w:rFonts w:eastAsia="Times New Roman" w:cs="Times New Roman"/>
                <w:b/>
                <w:bCs/>
                <w:sz w:val="20"/>
                <w:szCs w:val="20"/>
              </w:rPr>
              <w:t>(ACEI 2.6)</w:t>
            </w:r>
          </w:p>
        </w:tc>
        <w:tc>
          <w:tcPr>
            <w:tcW w:w="1710" w:type="dxa"/>
            <w:tcBorders>
              <w:top w:val="nil"/>
              <w:left w:val="nil"/>
              <w:bottom w:val="single" w:sz="4" w:space="0" w:color="000000"/>
              <w:right w:val="single" w:sz="4" w:space="0" w:color="000000"/>
            </w:tcBorders>
            <w:shd w:val="clear" w:color="auto" w:fill="auto"/>
            <w:hideMark/>
          </w:tcPr>
          <w:p w:rsidR="00D11A9D" w:rsidRPr="00C708AB" w:rsidRDefault="00B15A13" w:rsidP="00F20556">
            <w:pPr>
              <w:spacing w:before="100" w:beforeAutospacing="1" w:after="100" w:afterAutospacing="1" w:line="240" w:lineRule="auto"/>
              <w:jc w:val="center"/>
              <w:rPr>
                <w:rFonts w:eastAsia="Times New Roman" w:cs="Times New Roman"/>
                <w:sz w:val="20"/>
                <w:szCs w:val="20"/>
              </w:rPr>
            </w:pPr>
            <w:r>
              <w:rPr>
                <w:rFonts w:eastAsia="Times New Roman" w:cs="Times New Roman"/>
                <w:sz w:val="20"/>
                <w:szCs w:val="20"/>
              </w:rPr>
              <w:t>Non-Applicable</w:t>
            </w:r>
          </w:p>
        </w:tc>
        <w:tc>
          <w:tcPr>
            <w:tcW w:w="1530" w:type="dxa"/>
            <w:tcBorders>
              <w:top w:val="nil"/>
              <w:left w:val="nil"/>
              <w:bottom w:val="single" w:sz="4" w:space="0" w:color="000000"/>
              <w:right w:val="single" w:sz="4" w:space="0" w:color="000000"/>
            </w:tcBorders>
            <w:shd w:val="clear" w:color="auto" w:fill="auto"/>
            <w:hideMark/>
          </w:tcPr>
          <w:p w:rsidR="00D11A9D" w:rsidRPr="00C708AB" w:rsidRDefault="00D11A9D" w:rsidP="00F20556">
            <w:pPr>
              <w:spacing w:before="100" w:beforeAutospacing="1" w:after="100" w:afterAutospacing="1" w:line="240" w:lineRule="auto"/>
              <w:jc w:val="center"/>
              <w:rPr>
                <w:rFonts w:eastAsia="Times New Roman" w:cs="Times New Roman"/>
                <w:sz w:val="20"/>
                <w:szCs w:val="20"/>
              </w:rPr>
            </w:pPr>
          </w:p>
        </w:tc>
        <w:tc>
          <w:tcPr>
            <w:tcW w:w="1610" w:type="dxa"/>
            <w:tcBorders>
              <w:top w:val="nil"/>
              <w:left w:val="nil"/>
              <w:bottom w:val="single" w:sz="4" w:space="0" w:color="000000"/>
              <w:right w:val="single" w:sz="4" w:space="0" w:color="000000"/>
            </w:tcBorders>
            <w:shd w:val="clear" w:color="auto" w:fill="auto"/>
            <w:hideMark/>
          </w:tcPr>
          <w:p w:rsidR="00D11A9D" w:rsidRPr="00C708AB" w:rsidRDefault="00D11A9D" w:rsidP="00F20556">
            <w:pPr>
              <w:spacing w:before="100" w:beforeAutospacing="1" w:after="100" w:afterAutospacing="1" w:line="240" w:lineRule="auto"/>
              <w:jc w:val="center"/>
              <w:rPr>
                <w:rFonts w:eastAsia="Times New Roman" w:cs="Times New Roman"/>
                <w:sz w:val="20"/>
                <w:szCs w:val="20"/>
              </w:rPr>
            </w:pPr>
          </w:p>
        </w:tc>
        <w:tc>
          <w:tcPr>
            <w:tcW w:w="1505" w:type="dxa"/>
            <w:tcBorders>
              <w:top w:val="nil"/>
              <w:left w:val="nil"/>
              <w:bottom w:val="single" w:sz="4" w:space="0" w:color="000000"/>
              <w:right w:val="single" w:sz="4" w:space="0" w:color="000000"/>
            </w:tcBorders>
            <w:shd w:val="clear" w:color="auto" w:fill="auto"/>
            <w:hideMark/>
          </w:tcPr>
          <w:p w:rsidR="00D11A9D" w:rsidRPr="00C708AB" w:rsidRDefault="00B15A13" w:rsidP="00F20556">
            <w:pPr>
              <w:spacing w:before="100" w:beforeAutospacing="1" w:after="100" w:afterAutospacing="1" w:line="240" w:lineRule="auto"/>
              <w:jc w:val="center"/>
              <w:rPr>
                <w:rFonts w:eastAsia="Times New Roman" w:cs="Times New Roman"/>
                <w:sz w:val="20"/>
                <w:szCs w:val="20"/>
              </w:rPr>
            </w:pPr>
            <w:r>
              <w:rPr>
                <w:rFonts w:eastAsia="Times New Roman" w:cs="Times New Roman"/>
                <w:sz w:val="20"/>
                <w:szCs w:val="20"/>
              </w:rPr>
              <w:t>Applicable</w:t>
            </w:r>
          </w:p>
        </w:tc>
      </w:tr>
      <w:tr w:rsidR="0012717E" w:rsidRPr="00A216B4" w:rsidTr="00846910">
        <w:trPr>
          <w:trHeight w:val="720"/>
        </w:trPr>
        <w:tc>
          <w:tcPr>
            <w:tcW w:w="3445" w:type="dxa"/>
            <w:tcBorders>
              <w:top w:val="nil"/>
              <w:left w:val="single" w:sz="4" w:space="0" w:color="000000"/>
              <w:bottom w:val="single" w:sz="4" w:space="0" w:color="000000"/>
              <w:right w:val="single" w:sz="4" w:space="0" w:color="000000"/>
            </w:tcBorders>
            <w:shd w:val="clear" w:color="auto" w:fill="auto"/>
            <w:hideMark/>
          </w:tcPr>
          <w:p w:rsidR="0012717E" w:rsidRDefault="00D11A9D" w:rsidP="00F20556">
            <w:pPr>
              <w:spacing w:before="100" w:beforeAutospacing="1" w:after="100" w:afterAutospacing="1" w:line="240" w:lineRule="auto"/>
              <w:rPr>
                <w:rFonts w:eastAsia="Times New Roman" w:cs="Times New Roman"/>
                <w:b/>
                <w:bCs/>
                <w:sz w:val="20"/>
                <w:szCs w:val="20"/>
              </w:rPr>
            </w:pPr>
            <w:r>
              <w:rPr>
                <w:rFonts w:eastAsia="Times New Roman" w:cs="Times New Roman"/>
                <w:b/>
                <w:bCs/>
                <w:sz w:val="20"/>
                <w:szCs w:val="20"/>
              </w:rPr>
              <w:t xml:space="preserve">Physical education </w:t>
            </w:r>
            <w:r w:rsidR="0057456A" w:rsidRPr="00682B60">
              <w:rPr>
                <w:rFonts w:eastAsia="Times New Roman" w:cs="Times New Roman"/>
                <w:bCs/>
                <w:sz w:val="20"/>
                <w:szCs w:val="20"/>
              </w:rPr>
              <w:t>– Candidates know, understand, and use—as appropriate to their own understanding and skills—human movement and physical activity as central elements to foster active, healthy life styles and enhanced quality of life for elementary students.</w:t>
            </w:r>
            <w:r w:rsidRPr="00682B60">
              <w:rPr>
                <w:rFonts w:eastAsia="Times New Roman" w:cs="Times New Roman"/>
                <w:bCs/>
                <w:sz w:val="20"/>
                <w:szCs w:val="20"/>
              </w:rPr>
              <w:t xml:space="preserve"> </w:t>
            </w:r>
            <w:r w:rsidRPr="00474351">
              <w:rPr>
                <w:rFonts w:eastAsia="Times New Roman" w:cs="Times New Roman"/>
                <w:b/>
                <w:bCs/>
                <w:sz w:val="20"/>
                <w:szCs w:val="20"/>
              </w:rPr>
              <w:t>(ACEI 2.7)</w:t>
            </w:r>
          </w:p>
        </w:tc>
        <w:tc>
          <w:tcPr>
            <w:tcW w:w="1710" w:type="dxa"/>
            <w:tcBorders>
              <w:top w:val="nil"/>
              <w:left w:val="nil"/>
              <w:bottom w:val="single" w:sz="4" w:space="0" w:color="000000"/>
              <w:right w:val="single" w:sz="4" w:space="0" w:color="000000"/>
            </w:tcBorders>
            <w:shd w:val="clear" w:color="auto" w:fill="auto"/>
            <w:hideMark/>
          </w:tcPr>
          <w:p w:rsidR="0012717E" w:rsidRPr="00C708AB" w:rsidRDefault="00B15A13" w:rsidP="00F20556">
            <w:pPr>
              <w:spacing w:before="100" w:beforeAutospacing="1" w:after="100" w:afterAutospacing="1" w:line="240" w:lineRule="auto"/>
              <w:jc w:val="center"/>
              <w:rPr>
                <w:rFonts w:eastAsia="Times New Roman" w:cs="Times New Roman"/>
                <w:sz w:val="20"/>
                <w:szCs w:val="20"/>
              </w:rPr>
            </w:pPr>
            <w:r>
              <w:rPr>
                <w:rFonts w:eastAsia="Times New Roman" w:cs="Times New Roman"/>
                <w:sz w:val="20"/>
                <w:szCs w:val="20"/>
              </w:rPr>
              <w:t>Non-Applicable</w:t>
            </w:r>
          </w:p>
        </w:tc>
        <w:tc>
          <w:tcPr>
            <w:tcW w:w="1530" w:type="dxa"/>
            <w:tcBorders>
              <w:top w:val="nil"/>
              <w:left w:val="nil"/>
              <w:bottom w:val="single" w:sz="4" w:space="0" w:color="000000"/>
              <w:right w:val="single" w:sz="4" w:space="0" w:color="000000"/>
            </w:tcBorders>
            <w:shd w:val="clear" w:color="auto" w:fill="auto"/>
            <w:hideMark/>
          </w:tcPr>
          <w:p w:rsidR="0012717E" w:rsidRPr="00C708AB" w:rsidRDefault="0012717E" w:rsidP="00F20556">
            <w:pPr>
              <w:spacing w:before="100" w:beforeAutospacing="1" w:after="100" w:afterAutospacing="1" w:line="240" w:lineRule="auto"/>
              <w:jc w:val="center"/>
              <w:rPr>
                <w:rFonts w:eastAsia="Times New Roman" w:cs="Times New Roman"/>
                <w:sz w:val="20"/>
                <w:szCs w:val="20"/>
              </w:rPr>
            </w:pPr>
          </w:p>
        </w:tc>
        <w:tc>
          <w:tcPr>
            <w:tcW w:w="1610" w:type="dxa"/>
            <w:tcBorders>
              <w:top w:val="nil"/>
              <w:left w:val="nil"/>
              <w:bottom w:val="single" w:sz="4" w:space="0" w:color="000000"/>
              <w:right w:val="single" w:sz="4" w:space="0" w:color="000000"/>
            </w:tcBorders>
            <w:shd w:val="clear" w:color="auto" w:fill="auto"/>
            <w:hideMark/>
          </w:tcPr>
          <w:p w:rsidR="0012717E" w:rsidRPr="00C708AB" w:rsidRDefault="0012717E" w:rsidP="00F20556">
            <w:pPr>
              <w:spacing w:before="100" w:beforeAutospacing="1" w:after="100" w:afterAutospacing="1" w:line="240" w:lineRule="auto"/>
              <w:jc w:val="center"/>
              <w:rPr>
                <w:rFonts w:eastAsia="Times New Roman" w:cs="Times New Roman"/>
                <w:sz w:val="20"/>
                <w:szCs w:val="20"/>
              </w:rPr>
            </w:pPr>
          </w:p>
        </w:tc>
        <w:tc>
          <w:tcPr>
            <w:tcW w:w="1505" w:type="dxa"/>
            <w:tcBorders>
              <w:top w:val="nil"/>
              <w:left w:val="nil"/>
              <w:bottom w:val="single" w:sz="4" w:space="0" w:color="000000"/>
              <w:right w:val="single" w:sz="4" w:space="0" w:color="000000"/>
            </w:tcBorders>
            <w:shd w:val="clear" w:color="auto" w:fill="auto"/>
            <w:hideMark/>
          </w:tcPr>
          <w:p w:rsidR="0012717E" w:rsidRPr="00C708AB" w:rsidRDefault="00B15A13" w:rsidP="00F20556">
            <w:pPr>
              <w:spacing w:before="100" w:beforeAutospacing="1" w:after="100" w:afterAutospacing="1" w:line="240" w:lineRule="auto"/>
              <w:jc w:val="center"/>
              <w:rPr>
                <w:rFonts w:eastAsia="Times New Roman" w:cs="Times New Roman"/>
                <w:sz w:val="20"/>
                <w:szCs w:val="20"/>
              </w:rPr>
            </w:pPr>
            <w:r>
              <w:rPr>
                <w:rFonts w:eastAsia="Times New Roman" w:cs="Times New Roman"/>
                <w:sz w:val="20"/>
                <w:szCs w:val="20"/>
              </w:rPr>
              <w:t>Applicable</w:t>
            </w:r>
          </w:p>
        </w:tc>
      </w:tr>
      <w:tr w:rsidR="00C708AB" w:rsidRPr="00A216B4" w:rsidTr="00846910">
        <w:trPr>
          <w:trHeight w:val="864"/>
        </w:trPr>
        <w:tc>
          <w:tcPr>
            <w:tcW w:w="3445" w:type="dxa"/>
            <w:tcBorders>
              <w:top w:val="nil"/>
              <w:left w:val="single" w:sz="4" w:space="0" w:color="000000"/>
              <w:bottom w:val="single" w:sz="4" w:space="0" w:color="000000"/>
              <w:right w:val="single" w:sz="4" w:space="0" w:color="000000"/>
            </w:tcBorders>
            <w:shd w:val="clear" w:color="auto" w:fill="auto"/>
            <w:hideMark/>
          </w:tcPr>
          <w:p w:rsidR="00C708AB" w:rsidRPr="00C708AB" w:rsidRDefault="00BF2DAE" w:rsidP="00F20556">
            <w:pPr>
              <w:spacing w:before="100" w:beforeAutospacing="1" w:after="100" w:afterAutospacing="1" w:line="240" w:lineRule="auto"/>
              <w:rPr>
                <w:rFonts w:eastAsia="Times New Roman" w:cs="Times New Roman"/>
                <w:b/>
                <w:bCs/>
                <w:sz w:val="20"/>
                <w:szCs w:val="20"/>
              </w:rPr>
            </w:pPr>
            <w:r>
              <w:rPr>
                <w:rFonts w:eastAsia="Times New Roman" w:cs="Times New Roman"/>
                <w:b/>
                <w:bCs/>
                <w:sz w:val="20"/>
                <w:szCs w:val="20"/>
              </w:rPr>
              <w:t>Standards from at least 2 curricular areas</w:t>
            </w:r>
            <w:r w:rsidR="00CD603C">
              <w:rPr>
                <w:rFonts w:eastAsia="Times New Roman" w:cs="Times New Roman"/>
                <w:b/>
                <w:bCs/>
                <w:sz w:val="20"/>
                <w:szCs w:val="20"/>
              </w:rPr>
              <w:t xml:space="preserve"> (ACEI 3.1)</w:t>
            </w:r>
          </w:p>
        </w:tc>
        <w:tc>
          <w:tcPr>
            <w:tcW w:w="1710" w:type="dxa"/>
            <w:tcBorders>
              <w:top w:val="nil"/>
              <w:left w:val="nil"/>
              <w:bottom w:val="single" w:sz="4" w:space="0" w:color="000000"/>
              <w:right w:val="single" w:sz="4" w:space="0" w:color="000000"/>
            </w:tcBorders>
            <w:shd w:val="clear" w:color="auto" w:fill="auto"/>
            <w:hideMark/>
          </w:tcPr>
          <w:p w:rsidR="00C708AB" w:rsidRPr="00C708AB" w:rsidRDefault="00C708AB" w:rsidP="00F20556">
            <w:pPr>
              <w:spacing w:before="100" w:beforeAutospacing="1" w:after="100" w:afterAutospacing="1" w:line="240" w:lineRule="auto"/>
              <w:jc w:val="center"/>
              <w:rPr>
                <w:rFonts w:eastAsia="Times New Roman" w:cs="Times New Roman"/>
                <w:sz w:val="20"/>
                <w:szCs w:val="20"/>
              </w:rPr>
            </w:pPr>
            <w:r w:rsidRPr="00C708AB">
              <w:rPr>
                <w:rFonts w:eastAsia="Times New Roman" w:cs="Times New Roman"/>
                <w:sz w:val="20"/>
                <w:szCs w:val="20"/>
              </w:rPr>
              <w:t xml:space="preserve">Not </w:t>
            </w:r>
            <w:r w:rsidR="00BF2DAE">
              <w:rPr>
                <w:rFonts w:eastAsia="Times New Roman" w:cs="Times New Roman"/>
                <w:sz w:val="20"/>
                <w:szCs w:val="20"/>
              </w:rPr>
              <w:t>M</w:t>
            </w:r>
            <w:r w:rsidRPr="00C708AB">
              <w:rPr>
                <w:rFonts w:eastAsia="Times New Roman" w:cs="Times New Roman"/>
                <w:sz w:val="20"/>
                <w:szCs w:val="20"/>
              </w:rPr>
              <w:t xml:space="preserve">et </w:t>
            </w:r>
          </w:p>
        </w:tc>
        <w:tc>
          <w:tcPr>
            <w:tcW w:w="1530" w:type="dxa"/>
            <w:tcBorders>
              <w:top w:val="nil"/>
              <w:left w:val="nil"/>
              <w:bottom w:val="single" w:sz="4" w:space="0" w:color="000000"/>
              <w:right w:val="single" w:sz="4" w:space="0" w:color="000000"/>
            </w:tcBorders>
            <w:shd w:val="clear" w:color="auto" w:fill="auto"/>
            <w:hideMark/>
          </w:tcPr>
          <w:p w:rsidR="00C708AB" w:rsidRPr="00C708AB" w:rsidRDefault="00C708AB" w:rsidP="00F20556">
            <w:pPr>
              <w:spacing w:before="100" w:beforeAutospacing="1" w:after="100" w:afterAutospacing="1" w:line="240" w:lineRule="auto"/>
              <w:jc w:val="center"/>
              <w:rPr>
                <w:rFonts w:eastAsia="Times New Roman" w:cs="Times New Roman"/>
                <w:sz w:val="20"/>
                <w:szCs w:val="20"/>
              </w:rPr>
            </w:pPr>
          </w:p>
        </w:tc>
        <w:tc>
          <w:tcPr>
            <w:tcW w:w="1610" w:type="dxa"/>
            <w:tcBorders>
              <w:top w:val="nil"/>
              <w:left w:val="nil"/>
              <w:bottom w:val="single" w:sz="4" w:space="0" w:color="000000"/>
              <w:right w:val="single" w:sz="4" w:space="0" w:color="000000"/>
            </w:tcBorders>
            <w:shd w:val="clear" w:color="auto" w:fill="auto"/>
            <w:hideMark/>
          </w:tcPr>
          <w:p w:rsidR="00C708AB" w:rsidRPr="00C708AB" w:rsidRDefault="00C708AB" w:rsidP="00F20556">
            <w:pPr>
              <w:spacing w:before="100" w:beforeAutospacing="1" w:after="100" w:afterAutospacing="1" w:line="240" w:lineRule="auto"/>
              <w:jc w:val="center"/>
              <w:rPr>
                <w:rFonts w:eastAsia="Times New Roman" w:cs="Times New Roman"/>
                <w:sz w:val="20"/>
                <w:szCs w:val="20"/>
              </w:rPr>
            </w:pPr>
          </w:p>
        </w:tc>
        <w:tc>
          <w:tcPr>
            <w:tcW w:w="1505" w:type="dxa"/>
            <w:tcBorders>
              <w:top w:val="nil"/>
              <w:left w:val="nil"/>
              <w:bottom w:val="single" w:sz="4" w:space="0" w:color="000000"/>
              <w:right w:val="single" w:sz="4" w:space="0" w:color="000000"/>
            </w:tcBorders>
            <w:shd w:val="clear" w:color="auto" w:fill="auto"/>
            <w:hideMark/>
          </w:tcPr>
          <w:p w:rsidR="00C708AB" w:rsidRPr="00C708AB" w:rsidRDefault="00C708AB" w:rsidP="00F20556">
            <w:pPr>
              <w:spacing w:before="100" w:beforeAutospacing="1" w:after="100" w:afterAutospacing="1" w:line="240" w:lineRule="auto"/>
              <w:jc w:val="center"/>
              <w:rPr>
                <w:rFonts w:eastAsia="Times New Roman" w:cs="Times New Roman"/>
                <w:sz w:val="20"/>
                <w:szCs w:val="20"/>
              </w:rPr>
            </w:pPr>
            <w:r w:rsidRPr="00C708AB">
              <w:rPr>
                <w:rFonts w:eastAsia="Times New Roman" w:cs="Times New Roman"/>
                <w:sz w:val="20"/>
                <w:szCs w:val="20"/>
              </w:rPr>
              <w:t xml:space="preserve">Met </w:t>
            </w:r>
          </w:p>
        </w:tc>
      </w:tr>
      <w:tr w:rsidR="00C708AB" w:rsidRPr="00A216B4" w:rsidTr="00846910">
        <w:trPr>
          <w:trHeight w:val="566"/>
        </w:trPr>
        <w:tc>
          <w:tcPr>
            <w:tcW w:w="3445" w:type="dxa"/>
            <w:tcBorders>
              <w:top w:val="nil"/>
              <w:left w:val="single" w:sz="4" w:space="0" w:color="000000"/>
              <w:bottom w:val="single" w:sz="4" w:space="0" w:color="000000"/>
              <w:right w:val="single" w:sz="4" w:space="0" w:color="000000"/>
            </w:tcBorders>
            <w:shd w:val="clear" w:color="auto" w:fill="auto"/>
            <w:hideMark/>
          </w:tcPr>
          <w:p w:rsidR="00C708AB" w:rsidRPr="002136AE" w:rsidRDefault="00BF2DAE" w:rsidP="00F20556">
            <w:pPr>
              <w:spacing w:before="100" w:beforeAutospacing="1" w:after="100" w:afterAutospacing="1" w:line="240" w:lineRule="auto"/>
              <w:rPr>
                <w:rFonts w:eastAsia="Times New Roman" w:cs="Times New Roman"/>
                <w:b/>
                <w:sz w:val="20"/>
                <w:szCs w:val="20"/>
              </w:rPr>
            </w:pPr>
            <w:r>
              <w:rPr>
                <w:rFonts w:eastAsia="Times New Roman" w:cs="Times New Roman"/>
                <w:b/>
                <w:bCs/>
                <w:sz w:val="20"/>
                <w:szCs w:val="20"/>
              </w:rPr>
              <w:t>Type of objective is identifie</w:t>
            </w:r>
            <w:r w:rsidR="002843F4">
              <w:rPr>
                <w:rFonts w:eastAsia="Times New Roman" w:cs="Times New Roman"/>
                <w:b/>
                <w:bCs/>
                <w:sz w:val="20"/>
                <w:szCs w:val="20"/>
              </w:rPr>
              <w:t>d. (knowledge/skill</w:t>
            </w:r>
            <w:r w:rsidR="002136AE">
              <w:rPr>
                <w:rFonts w:eastAsia="Times New Roman" w:cs="Times New Roman"/>
                <w:b/>
                <w:bCs/>
                <w:sz w:val="20"/>
                <w:szCs w:val="20"/>
              </w:rPr>
              <w:t>)</w:t>
            </w:r>
            <w:r w:rsidR="00CD603C">
              <w:rPr>
                <w:rFonts w:eastAsia="Times New Roman" w:cs="Times New Roman"/>
                <w:b/>
                <w:bCs/>
                <w:sz w:val="20"/>
                <w:szCs w:val="20"/>
              </w:rPr>
              <w:t xml:space="preserve"> </w:t>
            </w:r>
          </w:p>
        </w:tc>
        <w:tc>
          <w:tcPr>
            <w:tcW w:w="1710" w:type="dxa"/>
            <w:tcBorders>
              <w:top w:val="nil"/>
              <w:left w:val="nil"/>
              <w:bottom w:val="single" w:sz="4" w:space="0" w:color="000000"/>
              <w:right w:val="single" w:sz="4" w:space="0" w:color="000000"/>
            </w:tcBorders>
            <w:shd w:val="clear" w:color="auto" w:fill="auto"/>
            <w:hideMark/>
          </w:tcPr>
          <w:p w:rsidR="00C708AB" w:rsidRPr="00EA755C" w:rsidRDefault="00BF2DAE" w:rsidP="00F20556">
            <w:pPr>
              <w:spacing w:before="100" w:beforeAutospacing="1" w:after="100" w:afterAutospacing="1" w:line="240" w:lineRule="auto"/>
              <w:jc w:val="center"/>
              <w:rPr>
                <w:rFonts w:eastAsia="Times New Roman" w:cs="Times New Roman"/>
                <w:sz w:val="20"/>
                <w:szCs w:val="20"/>
              </w:rPr>
            </w:pPr>
            <w:r>
              <w:rPr>
                <w:rFonts w:eastAsia="Times New Roman" w:cs="Times New Roman"/>
                <w:sz w:val="20"/>
                <w:szCs w:val="20"/>
              </w:rPr>
              <w:t>Not Met</w:t>
            </w:r>
          </w:p>
        </w:tc>
        <w:tc>
          <w:tcPr>
            <w:tcW w:w="1530" w:type="dxa"/>
            <w:tcBorders>
              <w:top w:val="nil"/>
              <w:left w:val="nil"/>
              <w:bottom w:val="single" w:sz="4" w:space="0" w:color="000000"/>
              <w:right w:val="single" w:sz="4" w:space="0" w:color="auto"/>
            </w:tcBorders>
            <w:shd w:val="clear" w:color="auto" w:fill="auto"/>
            <w:hideMark/>
          </w:tcPr>
          <w:p w:rsidR="00C708AB" w:rsidRPr="00EA755C" w:rsidRDefault="00C708AB" w:rsidP="00F20556">
            <w:pPr>
              <w:spacing w:before="100" w:beforeAutospacing="1" w:after="100" w:afterAutospacing="1" w:line="240" w:lineRule="auto"/>
              <w:jc w:val="center"/>
              <w:rPr>
                <w:rFonts w:eastAsia="Times New Roman" w:cs="Times New Roman"/>
                <w:sz w:val="20"/>
                <w:szCs w:val="20"/>
              </w:rPr>
            </w:pPr>
          </w:p>
        </w:tc>
        <w:tc>
          <w:tcPr>
            <w:tcW w:w="1610" w:type="dxa"/>
            <w:tcBorders>
              <w:top w:val="nil"/>
              <w:left w:val="single" w:sz="4" w:space="0" w:color="auto"/>
              <w:bottom w:val="single" w:sz="4" w:space="0" w:color="000000"/>
              <w:right w:val="single" w:sz="4" w:space="0" w:color="000000"/>
            </w:tcBorders>
            <w:shd w:val="clear" w:color="auto" w:fill="auto"/>
            <w:hideMark/>
          </w:tcPr>
          <w:p w:rsidR="00C708AB" w:rsidRPr="00EA755C" w:rsidRDefault="00C708AB" w:rsidP="00F20556">
            <w:pPr>
              <w:spacing w:before="100" w:beforeAutospacing="1" w:after="100" w:afterAutospacing="1" w:line="240" w:lineRule="auto"/>
              <w:jc w:val="center"/>
              <w:rPr>
                <w:rFonts w:eastAsia="Times New Roman" w:cs="Times New Roman"/>
                <w:sz w:val="20"/>
                <w:szCs w:val="20"/>
              </w:rPr>
            </w:pPr>
          </w:p>
        </w:tc>
        <w:tc>
          <w:tcPr>
            <w:tcW w:w="1505" w:type="dxa"/>
            <w:tcBorders>
              <w:top w:val="nil"/>
              <w:left w:val="nil"/>
              <w:bottom w:val="single" w:sz="4" w:space="0" w:color="000000"/>
              <w:right w:val="single" w:sz="4" w:space="0" w:color="000000"/>
            </w:tcBorders>
            <w:shd w:val="clear" w:color="auto" w:fill="auto"/>
            <w:hideMark/>
          </w:tcPr>
          <w:p w:rsidR="00C708AB" w:rsidRPr="00EA755C" w:rsidRDefault="00BF2DAE" w:rsidP="00F20556">
            <w:pPr>
              <w:spacing w:before="100" w:beforeAutospacing="1" w:after="100" w:afterAutospacing="1" w:line="240" w:lineRule="auto"/>
              <w:jc w:val="center"/>
              <w:rPr>
                <w:rFonts w:eastAsia="Times New Roman" w:cs="Times New Roman"/>
                <w:sz w:val="20"/>
                <w:szCs w:val="20"/>
              </w:rPr>
            </w:pPr>
            <w:r>
              <w:rPr>
                <w:rFonts w:eastAsia="Times New Roman" w:cs="Times New Roman"/>
                <w:sz w:val="20"/>
                <w:szCs w:val="20"/>
              </w:rPr>
              <w:t>Met</w:t>
            </w:r>
          </w:p>
        </w:tc>
      </w:tr>
      <w:tr w:rsidR="009721C6" w:rsidRPr="009721C6" w:rsidTr="008469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76"/>
        </w:trPr>
        <w:tc>
          <w:tcPr>
            <w:tcW w:w="3445" w:type="dxa"/>
            <w:shd w:val="clear" w:color="auto" w:fill="EEECE1" w:themeFill="background2"/>
          </w:tcPr>
          <w:p w:rsidR="009721C6" w:rsidRPr="00975E15" w:rsidRDefault="009721C6" w:rsidP="00F20556">
            <w:pPr>
              <w:spacing w:line="240" w:lineRule="auto"/>
              <w:rPr>
                <w:b/>
                <w:color w:val="000000" w:themeColor="text1"/>
                <w:highlight w:val="lightGray"/>
              </w:rPr>
            </w:pPr>
            <w:r w:rsidRPr="00A529D6">
              <w:rPr>
                <w:b/>
                <w:color w:val="000000" w:themeColor="text1"/>
              </w:rPr>
              <w:t>Lesson Plan Content</w:t>
            </w:r>
          </w:p>
        </w:tc>
        <w:tc>
          <w:tcPr>
            <w:tcW w:w="1710" w:type="dxa"/>
            <w:shd w:val="clear" w:color="auto" w:fill="EEECE1" w:themeFill="background2"/>
          </w:tcPr>
          <w:p w:rsidR="009721C6" w:rsidRPr="009721C6" w:rsidRDefault="009721C6" w:rsidP="00F20556">
            <w:pPr>
              <w:spacing w:line="240" w:lineRule="auto"/>
              <w:rPr>
                <w:highlight w:val="lightGray"/>
              </w:rPr>
            </w:pPr>
          </w:p>
        </w:tc>
        <w:tc>
          <w:tcPr>
            <w:tcW w:w="1530" w:type="dxa"/>
            <w:shd w:val="clear" w:color="auto" w:fill="EEECE1" w:themeFill="background2"/>
          </w:tcPr>
          <w:p w:rsidR="009721C6" w:rsidRPr="009721C6" w:rsidRDefault="009721C6" w:rsidP="00F20556">
            <w:pPr>
              <w:spacing w:line="240" w:lineRule="auto"/>
              <w:rPr>
                <w:highlight w:val="lightGray"/>
              </w:rPr>
            </w:pPr>
          </w:p>
        </w:tc>
        <w:tc>
          <w:tcPr>
            <w:tcW w:w="1610" w:type="dxa"/>
            <w:shd w:val="clear" w:color="auto" w:fill="EEECE1" w:themeFill="background2"/>
          </w:tcPr>
          <w:p w:rsidR="009721C6" w:rsidRPr="009721C6" w:rsidRDefault="009721C6" w:rsidP="00F20556">
            <w:pPr>
              <w:spacing w:line="240" w:lineRule="auto"/>
              <w:rPr>
                <w:highlight w:val="lightGray"/>
              </w:rPr>
            </w:pPr>
          </w:p>
        </w:tc>
        <w:tc>
          <w:tcPr>
            <w:tcW w:w="1505" w:type="dxa"/>
            <w:shd w:val="clear" w:color="auto" w:fill="EEECE1" w:themeFill="background2"/>
          </w:tcPr>
          <w:p w:rsidR="009721C6" w:rsidRPr="009721C6" w:rsidRDefault="009721C6" w:rsidP="00F20556">
            <w:pPr>
              <w:spacing w:line="240" w:lineRule="auto"/>
              <w:rPr>
                <w:highlight w:val="lightGray"/>
              </w:rPr>
            </w:pPr>
          </w:p>
        </w:tc>
      </w:tr>
      <w:tr w:rsidR="00836845" w:rsidTr="008469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673"/>
        </w:trPr>
        <w:tc>
          <w:tcPr>
            <w:tcW w:w="3445" w:type="dxa"/>
          </w:tcPr>
          <w:p w:rsidR="00836845" w:rsidRPr="00D50816" w:rsidRDefault="00D50816" w:rsidP="00F20556">
            <w:pPr>
              <w:spacing w:line="240" w:lineRule="auto"/>
              <w:rPr>
                <w:b/>
              </w:rPr>
            </w:pPr>
            <w:r w:rsidRPr="00D50816">
              <w:rPr>
                <w:b/>
              </w:rPr>
              <w:t xml:space="preserve">Lesson </w:t>
            </w:r>
            <w:r w:rsidR="009721C6">
              <w:rPr>
                <w:b/>
              </w:rPr>
              <w:t>plan integration</w:t>
            </w:r>
            <w:r w:rsidR="00D81E99">
              <w:rPr>
                <w:b/>
              </w:rPr>
              <w:t xml:space="preserve"> -</w:t>
            </w:r>
            <w:r w:rsidR="002B103F">
              <w:rPr>
                <w:b/>
              </w:rPr>
              <w:t xml:space="preserve"> </w:t>
            </w:r>
            <w:r w:rsidR="00275334">
              <w:t xml:space="preserve">Candidates plan and implement instruction based on knowledge of students, learning theory, connections across the curriculum, curricular goals, and community </w:t>
            </w:r>
            <w:r w:rsidR="002B103F">
              <w:rPr>
                <w:b/>
              </w:rPr>
              <w:t>(ACEI 3.1)</w:t>
            </w:r>
          </w:p>
        </w:tc>
        <w:tc>
          <w:tcPr>
            <w:tcW w:w="1710" w:type="dxa"/>
          </w:tcPr>
          <w:p w:rsidR="00836845" w:rsidRDefault="00631AFF" w:rsidP="00515E49">
            <w:pPr>
              <w:spacing w:line="240" w:lineRule="auto"/>
            </w:pPr>
            <w:r>
              <w:t>Lesson plans are not integrated with other curricular areas</w:t>
            </w:r>
            <w:r w:rsidR="00515E49">
              <w:t>.</w:t>
            </w:r>
            <w:r>
              <w:t xml:space="preserve"> </w:t>
            </w:r>
          </w:p>
        </w:tc>
        <w:tc>
          <w:tcPr>
            <w:tcW w:w="1530" w:type="dxa"/>
          </w:tcPr>
          <w:p w:rsidR="00836845" w:rsidRDefault="00631AFF" w:rsidP="00515E49">
            <w:pPr>
              <w:spacing w:line="240" w:lineRule="auto"/>
            </w:pPr>
            <w:r>
              <w:t xml:space="preserve">Lesson plans integrate at </w:t>
            </w:r>
            <w:r w:rsidR="00370248">
              <w:t xml:space="preserve">least 2 curricular </w:t>
            </w:r>
            <w:r w:rsidR="00515E49">
              <w:t>areas.</w:t>
            </w:r>
          </w:p>
        </w:tc>
        <w:tc>
          <w:tcPr>
            <w:tcW w:w="1610" w:type="dxa"/>
          </w:tcPr>
          <w:p w:rsidR="00836845" w:rsidRDefault="00631AFF" w:rsidP="00515E49">
            <w:pPr>
              <w:spacing w:line="240" w:lineRule="auto"/>
            </w:pPr>
            <w:r>
              <w:t>Lesson plans integrate at l</w:t>
            </w:r>
            <w:r w:rsidR="00C47ADE">
              <w:t>east 3 curricular  areas</w:t>
            </w:r>
            <w:r w:rsidR="00515E49">
              <w:t>.</w:t>
            </w:r>
          </w:p>
        </w:tc>
        <w:tc>
          <w:tcPr>
            <w:tcW w:w="1505" w:type="dxa"/>
          </w:tcPr>
          <w:p w:rsidR="00836845" w:rsidRDefault="00631AFF" w:rsidP="00515E49">
            <w:pPr>
              <w:spacing w:line="240" w:lineRule="auto"/>
            </w:pPr>
            <w:r>
              <w:t>Lesson plans integrate four or more curricular ar</w:t>
            </w:r>
            <w:r w:rsidR="00C47ADE">
              <w:t>eas</w:t>
            </w:r>
            <w:r w:rsidR="00515E49">
              <w:t xml:space="preserve">. </w:t>
            </w:r>
          </w:p>
        </w:tc>
      </w:tr>
      <w:tr w:rsidR="00370248" w:rsidTr="008469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673"/>
        </w:trPr>
        <w:tc>
          <w:tcPr>
            <w:tcW w:w="3445" w:type="dxa"/>
          </w:tcPr>
          <w:p w:rsidR="00A469C4" w:rsidRPr="0061373C" w:rsidRDefault="009721C6" w:rsidP="00F20556">
            <w:pPr>
              <w:spacing w:line="240" w:lineRule="auto"/>
              <w:rPr>
                <w:b/>
              </w:rPr>
            </w:pPr>
            <w:r>
              <w:rPr>
                <w:b/>
              </w:rPr>
              <w:t>Lesson plan alignment</w:t>
            </w:r>
            <w:r w:rsidR="00A469C4">
              <w:rPr>
                <w:b/>
              </w:rPr>
              <w:t xml:space="preserve"> – </w:t>
            </w:r>
            <w:r w:rsidR="00A469C4">
              <w:t>Candidates make connections across curriculum and curricular goals</w:t>
            </w:r>
            <w:r w:rsidR="00A469C4">
              <w:rPr>
                <w:b/>
              </w:rPr>
              <w:t xml:space="preserve"> (ACEI 3.1</w:t>
            </w:r>
            <w:r w:rsidR="00F27AA9">
              <w:rPr>
                <w:b/>
              </w:rPr>
              <w:t>)</w:t>
            </w:r>
            <w:r w:rsidR="0061373C">
              <w:rPr>
                <w:b/>
              </w:rPr>
              <w:t xml:space="preserve"> </w:t>
            </w:r>
            <w:r w:rsidR="00A469C4">
              <w:t xml:space="preserve">Candidates use their knowledge and understanding of individual and group motivation and behavior </w:t>
            </w:r>
            <w:r w:rsidR="00B848F6">
              <w:t xml:space="preserve">among students at the </w:t>
            </w:r>
            <w:r w:rsidR="00A469C4">
              <w:t>to foster active engagement in learning</w:t>
            </w:r>
            <w:r w:rsidR="0061373C">
              <w:t>.</w:t>
            </w:r>
            <w:r w:rsidR="0061373C">
              <w:rPr>
                <w:b/>
              </w:rPr>
              <w:t>(ACEI 3.4)</w:t>
            </w:r>
          </w:p>
        </w:tc>
        <w:tc>
          <w:tcPr>
            <w:tcW w:w="1710" w:type="dxa"/>
          </w:tcPr>
          <w:p w:rsidR="00370248" w:rsidRDefault="00515E49" w:rsidP="00F20556">
            <w:pPr>
              <w:spacing w:line="240" w:lineRule="auto"/>
            </w:pPr>
            <w:r>
              <w:t>Lesson plans does not align instruction and practice with standards</w:t>
            </w:r>
          </w:p>
        </w:tc>
        <w:tc>
          <w:tcPr>
            <w:tcW w:w="1530" w:type="dxa"/>
          </w:tcPr>
          <w:p w:rsidR="00370248" w:rsidRDefault="00370248" w:rsidP="00F20556">
            <w:pPr>
              <w:spacing w:line="240" w:lineRule="auto"/>
            </w:pPr>
            <w:r>
              <w:t xml:space="preserve">Lesson plan aligns </w:t>
            </w:r>
            <w:r w:rsidR="00224AB6">
              <w:t xml:space="preserve">some </w:t>
            </w:r>
            <w:r>
              <w:t>instruction, and practice, with standards .</w:t>
            </w:r>
          </w:p>
        </w:tc>
        <w:tc>
          <w:tcPr>
            <w:tcW w:w="1610" w:type="dxa"/>
          </w:tcPr>
          <w:p w:rsidR="00370248" w:rsidRDefault="00743F30" w:rsidP="00F20556">
            <w:pPr>
              <w:spacing w:line="240" w:lineRule="auto"/>
            </w:pPr>
            <w:r>
              <w:t>All areas in the l</w:t>
            </w:r>
            <w:r w:rsidR="00370248">
              <w:t xml:space="preserve">esson plan </w:t>
            </w:r>
            <w:r w:rsidR="00224AB6">
              <w:t xml:space="preserve">somewhat </w:t>
            </w:r>
            <w:r w:rsidR="00370248">
              <w:t>aligns instruction</w:t>
            </w:r>
            <w:r>
              <w:t xml:space="preserve"> and</w:t>
            </w:r>
            <w:r w:rsidR="00370248">
              <w:t xml:space="preserve"> practice</w:t>
            </w:r>
            <w:r>
              <w:t xml:space="preserve"> </w:t>
            </w:r>
            <w:r w:rsidR="00370248">
              <w:t xml:space="preserve"> </w:t>
            </w:r>
            <w:r>
              <w:t>with</w:t>
            </w:r>
            <w:r w:rsidR="00370248">
              <w:t xml:space="preserve"> standards</w:t>
            </w:r>
          </w:p>
        </w:tc>
        <w:tc>
          <w:tcPr>
            <w:tcW w:w="1505" w:type="dxa"/>
          </w:tcPr>
          <w:p w:rsidR="00370248" w:rsidRDefault="00515E49" w:rsidP="00515E49">
            <w:pPr>
              <w:spacing w:line="240" w:lineRule="auto"/>
            </w:pPr>
            <w:r>
              <w:t>All areas of</w:t>
            </w:r>
            <w:r w:rsidR="00743F30">
              <w:t xml:space="preserve"> instruction and practice</w:t>
            </w:r>
            <w:r>
              <w:t xml:space="preserve"> are aligned </w:t>
            </w:r>
            <w:r w:rsidR="00224AB6">
              <w:t xml:space="preserve"> with standards</w:t>
            </w:r>
            <w:r w:rsidR="00743F30">
              <w:t>.</w:t>
            </w:r>
          </w:p>
        </w:tc>
      </w:tr>
      <w:tr w:rsidR="00370248" w:rsidTr="008469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673"/>
        </w:trPr>
        <w:tc>
          <w:tcPr>
            <w:tcW w:w="3445" w:type="dxa"/>
          </w:tcPr>
          <w:p w:rsidR="00370248" w:rsidRDefault="009721C6" w:rsidP="00F20556">
            <w:pPr>
              <w:spacing w:line="240" w:lineRule="auto"/>
              <w:rPr>
                <w:b/>
              </w:rPr>
            </w:pPr>
            <w:r>
              <w:rPr>
                <w:b/>
              </w:rPr>
              <w:lastRenderedPageBreak/>
              <w:t>Lesson assessments</w:t>
            </w:r>
            <w:r w:rsidR="00F85FCC">
              <w:rPr>
                <w:b/>
              </w:rPr>
              <w:t xml:space="preserve"> </w:t>
            </w:r>
            <w:r w:rsidR="00F85FCC" w:rsidRPr="00A42DC6">
              <w:t xml:space="preserve">– Candidates know, understand, and use formal and informal assessment strategies to plan, evaluate and strengthen instruction that will promote continuous intellectual, social, emotional, and physical development of each elementary student </w:t>
            </w:r>
            <w:r w:rsidR="00F85FCC" w:rsidRPr="00474351">
              <w:rPr>
                <w:b/>
              </w:rPr>
              <w:t>(ACEI 4.0)</w:t>
            </w:r>
          </w:p>
        </w:tc>
        <w:tc>
          <w:tcPr>
            <w:tcW w:w="1710" w:type="dxa"/>
          </w:tcPr>
          <w:p w:rsidR="00370248" w:rsidRDefault="00370248" w:rsidP="00F20556">
            <w:pPr>
              <w:spacing w:line="240" w:lineRule="auto"/>
            </w:pPr>
          </w:p>
        </w:tc>
        <w:tc>
          <w:tcPr>
            <w:tcW w:w="1530" w:type="dxa"/>
          </w:tcPr>
          <w:p w:rsidR="00370248" w:rsidRDefault="00370248" w:rsidP="00F20556">
            <w:pPr>
              <w:spacing w:line="240" w:lineRule="auto"/>
            </w:pPr>
            <w:r>
              <w:t>Lesson plan contains appropriate assessment for objectives target.</w:t>
            </w:r>
          </w:p>
        </w:tc>
        <w:tc>
          <w:tcPr>
            <w:tcW w:w="1610" w:type="dxa"/>
          </w:tcPr>
          <w:p w:rsidR="00370248" w:rsidRDefault="00743F30" w:rsidP="00F20556">
            <w:pPr>
              <w:spacing w:line="240" w:lineRule="auto"/>
            </w:pPr>
            <w:r>
              <w:t>All assessments and standards are aligned.</w:t>
            </w:r>
          </w:p>
        </w:tc>
        <w:tc>
          <w:tcPr>
            <w:tcW w:w="1505" w:type="dxa"/>
          </w:tcPr>
          <w:p w:rsidR="00370248" w:rsidRDefault="00743F30" w:rsidP="00F20556">
            <w:pPr>
              <w:spacing w:line="240" w:lineRule="auto"/>
            </w:pPr>
            <w:r>
              <w:t>All assessments and standards are aligned.</w:t>
            </w:r>
          </w:p>
        </w:tc>
      </w:tr>
      <w:tr w:rsidR="00DA1382" w:rsidTr="008469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35"/>
        </w:trPr>
        <w:tc>
          <w:tcPr>
            <w:tcW w:w="3445" w:type="dxa"/>
          </w:tcPr>
          <w:p w:rsidR="00DA1382" w:rsidRPr="00D50816" w:rsidRDefault="00DA1382" w:rsidP="00F20556">
            <w:pPr>
              <w:spacing w:line="240" w:lineRule="auto"/>
              <w:rPr>
                <w:b/>
              </w:rPr>
            </w:pPr>
            <w:r>
              <w:rPr>
                <w:b/>
              </w:rPr>
              <w:t>Lesson plan procedures</w:t>
            </w:r>
            <w:r w:rsidR="00F85FCC">
              <w:rPr>
                <w:b/>
              </w:rPr>
              <w:t xml:space="preserve"> </w:t>
            </w:r>
          </w:p>
        </w:tc>
        <w:tc>
          <w:tcPr>
            <w:tcW w:w="1710" w:type="dxa"/>
          </w:tcPr>
          <w:p w:rsidR="00DA1382" w:rsidRDefault="00CF3B50" w:rsidP="00F20556">
            <w:pPr>
              <w:spacing w:line="240" w:lineRule="auto"/>
            </w:pPr>
            <w:r>
              <w:t>Lesson plan lacks organization or logical sequencing.</w:t>
            </w:r>
          </w:p>
        </w:tc>
        <w:tc>
          <w:tcPr>
            <w:tcW w:w="1530" w:type="dxa"/>
          </w:tcPr>
          <w:p w:rsidR="00DA1382" w:rsidRDefault="00CF3B50" w:rsidP="00F20556">
            <w:pPr>
              <w:spacing w:line="240" w:lineRule="auto"/>
            </w:pPr>
            <w:r>
              <w:t>Lesson plan exhibits some organization and sequencing.</w:t>
            </w:r>
          </w:p>
        </w:tc>
        <w:tc>
          <w:tcPr>
            <w:tcW w:w="1610" w:type="dxa"/>
          </w:tcPr>
          <w:p w:rsidR="00DA1382" w:rsidRDefault="00FE18E3" w:rsidP="00F20556">
            <w:pPr>
              <w:spacing w:line="240" w:lineRule="auto"/>
            </w:pPr>
            <w:r>
              <w:t>Les</w:t>
            </w:r>
            <w:r w:rsidR="00CF3B50">
              <w:t xml:space="preserve">son plan procedure exhibits </w:t>
            </w:r>
            <w:r>
              <w:t xml:space="preserve"> organization and sequencing</w:t>
            </w:r>
            <w:r w:rsidR="00CF3B50">
              <w:t xml:space="preserve"> as instructed</w:t>
            </w:r>
            <w:r>
              <w:t>.</w:t>
            </w:r>
          </w:p>
        </w:tc>
        <w:tc>
          <w:tcPr>
            <w:tcW w:w="1505" w:type="dxa"/>
          </w:tcPr>
          <w:p w:rsidR="00DA1382" w:rsidRDefault="00FE18E3" w:rsidP="00F20556">
            <w:pPr>
              <w:spacing w:line="240" w:lineRule="auto"/>
            </w:pPr>
            <w:r>
              <w:t>Lesson plan procedure is well thought out and logically sequenced.</w:t>
            </w:r>
          </w:p>
        </w:tc>
      </w:tr>
      <w:tr w:rsidR="00562062" w:rsidTr="008469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673"/>
        </w:trPr>
        <w:tc>
          <w:tcPr>
            <w:tcW w:w="3445" w:type="dxa"/>
          </w:tcPr>
          <w:p w:rsidR="00562062" w:rsidRPr="00D50816" w:rsidRDefault="00371B80" w:rsidP="00F20556">
            <w:pPr>
              <w:spacing w:line="240" w:lineRule="auto"/>
              <w:rPr>
                <w:b/>
              </w:rPr>
            </w:pPr>
            <w:r>
              <w:rPr>
                <w:b/>
              </w:rPr>
              <w:t>R</w:t>
            </w:r>
            <w:r w:rsidR="00562062">
              <w:rPr>
                <w:b/>
              </w:rPr>
              <w:t xml:space="preserve">eflections </w:t>
            </w:r>
            <w:r w:rsidR="00A4371E">
              <w:rPr>
                <w:b/>
              </w:rPr>
              <w:t>for professional growth</w:t>
            </w:r>
            <w:r w:rsidR="009433EC">
              <w:rPr>
                <w:b/>
              </w:rPr>
              <w:t xml:space="preserve"> –</w:t>
            </w:r>
            <w:r w:rsidR="00371E9A" w:rsidRPr="006627D5">
              <w:t>Candidates continually evaluate the effects of their professional decisions and actions on students, families and other professionals in the learning community and actively seek out opportunities to grow professionally</w:t>
            </w:r>
            <w:r w:rsidR="009433EC" w:rsidRPr="006627D5">
              <w:t xml:space="preserve"> (</w:t>
            </w:r>
            <w:r w:rsidR="009433EC" w:rsidRPr="00474351">
              <w:rPr>
                <w:b/>
              </w:rPr>
              <w:t>ACEI 5.1)</w:t>
            </w:r>
          </w:p>
        </w:tc>
        <w:tc>
          <w:tcPr>
            <w:tcW w:w="1710" w:type="dxa"/>
          </w:tcPr>
          <w:p w:rsidR="00562062" w:rsidRDefault="000B7FDF" w:rsidP="00F20556">
            <w:pPr>
              <w:spacing w:line="240" w:lineRule="auto"/>
            </w:pPr>
            <w:r>
              <w:t>Reflections are incomplete and no supporting evidence is provided to support conclusions.</w:t>
            </w:r>
          </w:p>
        </w:tc>
        <w:tc>
          <w:tcPr>
            <w:tcW w:w="1530" w:type="dxa"/>
          </w:tcPr>
          <w:p w:rsidR="00562062" w:rsidRDefault="000B7FDF" w:rsidP="00F20556">
            <w:pPr>
              <w:spacing w:line="240" w:lineRule="auto"/>
            </w:pPr>
            <w:r>
              <w:t>Reflections are general.  Some detail is provided.</w:t>
            </w:r>
          </w:p>
        </w:tc>
        <w:tc>
          <w:tcPr>
            <w:tcW w:w="1610" w:type="dxa"/>
          </w:tcPr>
          <w:p w:rsidR="00562062" w:rsidRDefault="000B7FDF" w:rsidP="00F20556">
            <w:pPr>
              <w:spacing w:line="240" w:lineRule="auto"/>
            </w:pPr>
            <w:r>
              <w:t>The majority of reflections provide detail to support conclusions, but not in great depth.</w:t>
            </w:r>
          </w:p>
        </w:tc>
        <w:tc>
          <w:tcPr>
            <w:tcW w:w="1505" w:type="dxa"/>
          </w:tcPr>
          <w:p w:rsidR="00562062" w:rsidRDefault="000B7FDF" w:rsidP="00F20556">
            <w:pPr>
              <w:spacing w:line="240" w:lineRule="auto"/>
            </w:pPr>
            <w:r>
              <w:t>All reflections are complete and well developed.  Supporting detail is provided for conclusions.</w:t>
            </w:r>
          </w:p>
        </w:tc>
      </w:tr>
      <w:tr w:rsidR="00562062" w:rsidTr="008469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673"/>
        </w:trPr>
        <w:tc>
          <w:tcPr>
            <w:tcW w:w="3445" w:type="dxa"/>
          </w:tcPr>
          <w:p w:rsidR="00562062" w:rsidRPr="00D50816" w:rsidRDefault="0010629D" w:rsidP="00F20556">
            <w:pPr>
              <w:spacing w:line="240" w:lineRule="auto"/>
              <w:rPr>
                <w:b/>
              </w:rPr>
            </w:pPr>
            <w:r>
              <w:rPr>
                <w:b/>
              </w:rPr>
              <w:t>Reflections connect to class content</w:t>
            </w:r>
            <w:r w:rsidR="00371B80">
              <w:rPr>
                <w:b/>
              </w:rPr>
              <w:t xml:space="preserve"> and research</w:t>
            </w:r>
            <w:r w:rsidR="009433EC">
              <w:rPr>
                <w:b/>
              </w:rPr>
              <w:t xml:space="preserve"> – </w:t>
            </w:r>
            <w:r w:rsidR="007E10D4" w:rsidRPr="006627D5">
              <w:t>Candidates are aware of and reflect on their practice in light of research on teaching, professional ethics, and resources availa</w:t>
            </w:r>
            <w:r w:rsidR="000E09A3">
              <w:t>b</w:t>
            </w:r>
            <w:r w:rsidR="007E10D4" w:rsidRPr="006627D5">
              <w:t>le for professi</w:t>
            </w:r>
            <w:r w:rsidR="00371E9A" w:rsidRPr="006627D5">
              <w:t xml:space="preserve">onal learning </w:t>
            </w:r>
            <w:r w:rsidR="009433EC" w:rsidRPr="00474351">
              <w:rPr>
                <w:b/>
              </w:rPr>
              <w:t>(ACEI 5.1)</w:t>
            </w:r>
          </w:p>
        </w:tc>
        <w:tc>
          <w:tcPr>
            <w:tcW w:w="1710" w:type="dxa"/>
          </w:tcPr>
          <w:p w:rsidR="00562062" w:rsidRDefault="0010629D" w:rsidP="00F20556">
            <w:pPr>
              <w:spacing w:line="240" w:lineRule="auto"/>
            </w:pPr>
            <w:r>
              <w:t>Reflections do not make conne</w:t>
            </w:r>
            <w:r w:rsidR="009D3B93">
              <w:t xml:space="preserve">ctions between observations, class discussions, </w:t>
            </w:r>
            <w:r w:rsidR="00326ACA">
              <w:t xml:space="preserve">text </w:t>
            </w:r>
            <w:r w:rsidR="009D3B93">
              <w:t>and research</w:t>
            </w:r>
            <w:r>
              <w:t>.</w:t>
            </w:r>
          </w:p>
        </w:tc>
        <w:tc>
          <w:tcPr>
            <w:tcW w:w="1530" w:type="dxa"/>
          </w:tcPr>
          <w:p w:rsidR="00562062" w:rsidRDefault="0010629D" w:rsidP="00F20556">
            <w:pPr>
              <w:spacing w:line="240" w:lineRule="auto"/>
            </w:pPr>
            <w:r>
              <w:t>Reflections connect practicum observation</w:t>
            </w:r>
            <w:r w:rsidR="00326ACA">
              <w:t>s to some class discussions and  text, but is not connected to research</w:t>
            </w:r>
            <w:r>
              <w:t>.</w:t>
            </w:r>
          </w:p>
        </w:tc>
        <w:tc>
          <w:tcPr>
            <w:tcW w:w="1610" w:type="dxa"/>
          </w:tcPr>
          <w:p w:rsidR="00562062" w:rsidRDefault="0010629D" w:rsidP="00F20556">
            <w:pPr>
              <w:spacing w:line="240" w:lineRule="auto"/>
            </w:pPr>
            <w:r>
              <w:t>Reflections connect practicum obser</w:t>
            </w:r>
            <w:r w:rsidR="00326ACA">
              <w:t>vations to class discussions,</w:t>
            </w:r>
            <w:r>
              <w:t xml:space="preserve"> text</w:t>
            </w:r>
            <w:r w:rsidR="00326ACA">
              <w:t xml:space="preserve"> and research</w:t>
            </w:r>
            <w:r>
              <w:t xml:space="preserve">, but not in depth. </w:t>
            </w:r>
          </w:p>
        </w:tc>
        <w:tc>
          <w:tcPr>
            <w:tcW w:w="1505" w:type="dxa"/>
          </w:tcPr>
          <w:p w:rsidR="00562062" w:rsidRDefault="0010629D" w:rsidP="00F20556">
            <w:pPr>
              <w:spacing w:line="240" w:lineRule="auto"/>
            </w:pPr>
            <w:r>
              <w:t>Reflections thoroughly connect observations in the pra</w:t>
            </w:r>
            <w:r w:rsidR="00326ACA">
              <w:t xml:space="preserve">cticum to class discussions, </w:t>
            </w:r>
            <w:r>
              <w:t>text</w:t>
            </w:r>
            <w:r w:rsidR="00326ACA">
              <w:t xml:space="preserve"> and research</w:t>
            </w:r>
            <w:r>
              <w:t>.</w:t>
            </w:r>
          </w:p>
        </w:tc>
      </w:tr>
      <w:tr w:rsidR="00562062" w:rsidTr="008469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673"/>
        </w:trPr>
        <w:tc>
          <w:tcPr>
            <w:tcW w:w="3445" w:type="dxa"/>
          </w:tcPr>
          <w:p w:rsidR="00A53EE6" w:rsidRPr="00846910" w:rsidRDefault="00EF00F3" w:rsidP="00F20556">
            <w:pPr>
              <w:spacing w:line="240" w:lineRule="auto"/>
              <w:rPr>
                <w:b/>
              </w:rPr>
            </w:pPr>
            <w:r w:rsidRPr="00846910">
              <w:rPr>
                <w:b/>
              </w:rPr>
              <w:t>Technology</w:t>
            </w:r>
            <w:r w:rsidR="00962A65" w:rsidRPr="00846910">
              <w:rPr>
                <w:b/>
              </w:rPr>
              <w:t xml:space="preserve"> </w:t>
            </w:r>
            <w:r w:rsidR="00A53EE6" w:rsidRPr="00846910">
              <w:t>– Candidates understand how elementary students differ in their development and approaches to learning, and create instructional opportunities that are adapted to diverse students</w:t>
            </w:r>
            <w:r w:rsidR="00962A65" w:rsidRPr="00846910">
              <w:t>(</w:t>
            </w:r>
            <w:r w:rsidR="00962A65" w:rsidRPr="00846910">
              <w:rPr>
                <w:b/>
              </w:rPr>
              <w:t>ACEI 3.2)</w:t>
            </w:r>
          </w:p>
          <w:p w:rsidR="00A53EE6" w:rsidRPr="00846910" w:rsidRDefault="00A53EE6" w:rsidP="00247FAA">
            <w:pPr>
              <w:spacing w:line="240" w:lineRule="auto"/>
            </w:pPr>
            <w:r w:rsidRPr="00846910">
              <w:t xml:space="preserve">Candidates understand and use a variety of teaching strategies that encourage elementary students’ </w:t>
            </w:r>
            <w:r w:rsidRPr="00846910">
              <w:lastRenderedPageBreak/>
              <w:t>development of critical thinking and problem solving (ACEI 3.3</w:t>
            </w:r>
            <w:r w:rsidR="00247FAA" w:rsidRPr="00846910">
              <w:t>)</w:t>
            </w:r>
          </w:p>
          <w:p w:rsidR="008E4F5B" w:rsidRPr="00846910" w:rsidRDefault="008E4F5B" w:rsidP="00247FAA">
            <w:pPr>
              <w:spacing w:line="240" w:lineRule="auto"/>
              <w:rPr>
                <w:b/>
              </w:rPr>
            </w:pPr>
            <w:r w:rsidRPr="00846910">
              <w:t xml:space="preserve">Candidates use their knowledge and understanding of effective verbal, nonverbal, and media communication techniques to foster active inquiry, collaboration, and supportive interaction in the elementary classroom </w:t>
            </w:r>
            <w:r w:rsidRPr="00846910">
              <w:rPr>
                <w:b/>
              </w:rPr>
              <w:t>(ACEI 3.5)</w:t>
            </w:r>
          </w:p>
        </w:tc>
        <w:tc>
          <w:tcPr>
            <w:tcW w:w="1710" w:type="dxa"/>
          </w:tcPr>
          <w:p w:rsidR="00562062" w:rsidRPr="00846910" w:rsidRDefault="006E3144" w:rsidP="00F20556">
            <w:pPr>
              <w:spacing w:line="240" w:lineRule="auto"/>
            </w:pPr>
            <w:r w:rsidRPr="00846910">
              <w:lastRenderedPageBreak/>
              <w:t>Does not utilize technology.</w:t>
            </w:r>
          </w:p>
        </w:tc>
        <w:tc>
          <w:tcPr>
            <w:tcW w:w="1530" w:type="dxa"/>
          </w:tcPr>
          <w:p w:rsidR="00562062" w:rsidRPr="00846910" w:rsidRDefault="006E3144" w:rsidP="00F20556">
            <w:pPr>
              <w:spacing w:line="240" w:lineRule="auto"/>
            </w:pPr>
            <w:r w:rsidRPr="00846910">
              <w:t>Encourages students to use learning and work processing software.</w:t>
            </w:r>
          </w:p>
        </w:tc>
        <w:tc>
          <w:tcPr>
            <w:tcW w:w="1610" w:type="dxa"/>
          </w:tcPr>
          <w:p w:rsidR="00562062" w:rsidRPr="00846910" w:rsidRDefault="00EF00F3" w:rsidP="00F20556">
            <w:pPr>
              <w:spacing w:line="240" w:lineRule="auto"/>
            </w:pPr>
            <w:r w:rsidRPr="00846910">
              <w:t>Understands and applies diverse technology in support of full range of student processing continuum.</w:t>
            </w:r>
          </w:p>
        </w:tc>
        <w:tc>
          <w:tcPr>
            <w:tcW w:w="1505" w:type="dxa"/>
          </w:tcPr>
          <w:p w:rsidR="00562062" w:rsidRDefault="00EF00F3" w:rsidP="00F20556">
            <w:pPr>
              <w:spacing w:line="240" w:lineRule="auto"/>
            </w:pPr>
            <w:r w:rsidRPr="00846910">
              <w:t xml:space="preserve">Applies diverse technology to encourage and support individual student learning and teacher creative and </w:t>
            </w:r>
            <w:r w:rsidRPr="00846910">
              <w:lastRenderedPageBreak/>
              <w:t>administrative tasks.</w:t>
            </w:r>
          </w:p>
        </w:tc>
      </w:tr>
      <w:tr w:rsidR="00562062" w:rsidTr="008469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78"/>
        </w:trPr>
        <w:tc>
          <w:tcPr>
            <w:tcW w:w="3445" w:type="dxa"/>
          </w:tcPr>
          <w:p w:rsidR="00562062" w:rsidRPr="00D50816" w:rsidRDefault="002843F4" w:rsidP="00F20556">
            <w:pPr>
              <w:spacing w:line="240" w:lineRule="auto"/>
              <w:rPr>
                <w:b/>
              </w:rPr>
            </w:pPr>
            <w:r>
              <w:rPr>
                <w:b/>
              </w:rPr>
              <w:lastRenderedPageBreak/>
              <w:t>Integration and alignment with PASS</w:t>
            </w:r>
            <w:r w:rsidR="009433EC">
              <w:rPr>
                <w:b/>
              </w:rPr>
              <w:t xml:space="preserve"> </w:t>
            </w:r>
            <w:r w:rsidR="00962A65" w:rsidRPr="00A42DC6">
              <w:t>– Candidates plan and implement instruction based on knowledge of students, learning theory, connections across the curriculum, curricular goals, and community</w:t>
            </w:r>
            <w:r w:rsidR="00474351">
              <w:t xml:space="preserve"> </w:t>
            </w:r>
            <w:r w:rsidR="009433EC" w:rsidRPr="00474351">
              <w:rPr>
                <w:b/>
              </w:rPr>
              <w:t>(ACEI 3.1)</w:t>
            </w:r>
          </w:p>
        </w:tc>
        <w:tc>
          <w:tcPr>
            <w:tcW w:w="1710" w:type="dxa"/>
          </w:tcPr>
          <w:p w:rsidR="00562062" w:rsidRDefault="002843F4" w:rsidP="00F20556">
            <w:pPr>
              <w:spacing w:line="240" w:lineRule="auto"/>
            </w:pPr>
            <w:r>
              <w:t>Lesson Plan does not align with Priority Academic Student Skills</w:t>
            </w:r>
          </w:p>
        </w:tc>
        <w:tc>
          <w:tcPr>
            <w:tcW w:w="1530" w:type="dxa"/>
          </w:tcPr>
          <w:p w:rsidR="00562062" w:rsidRDefault="002843F4" w:rsidP="00F20556">
            <w:pPr>
              <w:spacing w:line="240" w:lineRule="auto"/>
            </w:pPr>
            <w:r>
              <w:t>Lesson Plan superficially aligned with Priority Academic Student Skills</w:t>
            </w:r>
          </w:p>
        </w:tc>
        <w:tc>
          <w:tcPr>
            <w:tcW w:w="1610" w:type="dxa"/>
          </w:tcPr>
          <w:p w:rsidR="00562062" w:rsidRDefault="002843F4" w:rsidP="00F20556">
            <w:pPr>
              <w:spacing w:line="240" w:lineRule="auto"/>
            </w:pPr>
            <w:r>
              <w:t>Lesson Plan implements some alignment with PASS and there is some integration across more than 1 curricular area.</w:t>
            </w:r>
          </w:p>
        </w:tc>
        <w:tc>
          <w:tcPr>
            <w:tcW w:w="1505" w:type="dxa"/>
          </w:tcPr>
          <w:p w:rsidR="00562062" w:rsidRDefault="002843F4" w:rsidP="00F20556">
            <w:pPr>
              <w:spacing w:line="240" w:lineRule="auto"/>
            </w:pPr>
            <w:r>
              <w:t>Lesson Plan has cohesive alignment and integration with Priority Academic Student Skills across multiple curricular areas.</w:t>
            </w:r>
          </w:p>
        </w:tc>
      </w:tr>
      <w:tr w:rsidR="00846910" w:rsidTr="00A529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29"/>
        </w:trPr>
        <w:tc>
          <w:tcPr>
            <w:tcW w:w="3445" w:type="dxa"/>
            <w:tcBorders>
              <w:bottom w:val="single" w:sz="4" w:space="0" w:color="auto"/>
            </w:tcBorders>
            <w:shd w:val="clear" w:color="auto" w:fill="EEECE1" w:themeFill="background2"/>
          </w:tcPr>
          <w:p w:rsidR="00846910" w:rsidRPr="00846910" w:rsidRDefault="00846910">
            <w:pPr>
              <w:rPr>
                <w:highlight w:val="lightGray"/>
              </w:rPr>
            </w:pPr>
            <w:r w:rsidRPr="007F3954">
              <w:rPr>
                <w:b/>
              </w:rPr>
              <w:t>School Practicum Information</w:t>
            </w:r>
          </w:p>
        </w:tc>
        <w:tc>
          <w:tcPr>
            <w:tcW w:w="1710" w:type="dxa"/>
            <w:shd w:val="clear" w:color="auto" w:fill="EEECE1" w:themeFill="background2"/>
          </w:tcPr>
          <w:p w:rsidR="00846910" w:rsidRDefault="00846910">
            <w:pPr>
              <w:rPr>
                <w:highlight w:val="lightGray"/>
              </w:rPr>
            </w:pPr>
          </w:p>
        </w:tc>
        <w:tc>
          <w:tcPr>
            <w:tcW w:w="1530" w:type="dxa"/>
            <w:shd w:val="clear" w:color="auto" w:fill="EEECE1" w:themeFill="background2"/>
          </w:tcPr>
          <w:p w:rsidR="00846910" w:rsidRDefault="00846910">
            <w:pPr>
              <w:rPr>
                <w:highlight w:val="lightGray"/>
              </w:rPr>
            </w:pPr>
          </w:p>
        </w:tc>
        <w:tc>
          <w:tcPr>
            <w:tcW w:w="1610" w:type="dxa"/>
            <w:shd w:val="clear" w:color="auto" w:fill="EEECE1" w:themeFill="background2"/>
          </w:tcPr>
          <w:p w:rsidR="00846910" w:rsidRDefault="00846910">
            <w:pPr>
              <w:rPr>
                <w:highlight w:val="lightGray"/>
              </w:rPr>
            </w:pPr>
          </w:p>
        </w:tc>
        <w:tc>
          <w:tcPr>
            <w:tcW w:w="1505" w:type="dxa"/>
            <w:shd w:val="clear" w:color="auto" w:fill="EEECE1" w:themeFill="background2"/>
          </w:tcPr>
          <w:p w:rsidR="00846910" w:rsidRDefault="00846910">
            <w:pPr>
              <w:rPr>
                <w:highlight w:val="lightGray"/>
              </w:rPr>
            </w:pPr>
          </w:p>
        </w:tc>
      </w:tr>
      <w:tr w:rsidR="00846910" w:rsidTr="008469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29"/>
        </w:trPr>
        <w:tc>
          <w:tcPr>
            <w:tcW w:w="3445" w:type="dxa"/>
            <w:tcBorders>
              <w:bottom w:val="single" w:sz="4" w:space="0" w:color="auto"/>
            </w:tcBorders>
          </w:tcPr>
          <w:p w:rsidR="00846910" w:rsidRPr="00846910" w:rsidRDefault="007F3954" w:rsidP="00846910">
            <w:pPr>
              <w:rPr>
                <w:highlight w:val="lightGray"/>
              </w:rPr>
            </w:pPr>
            <w:r w:rsidRPr="007F3954">
              <w:t>Title</w:t>
            </w:r>
            <w:r w:rsidR="00C65D2A">
              <w:t xml:space="preserve"> I School</w:t>
            </w:r>
          </w:p>
        </w:tc>
        <w:tc>
          <w:tcPr>
            <w:tcW w:w="1710" w:type="dxa"/>
          </w:tcPr>
          <w:p w:rsidR="00846910" w:rsidRDefault="00C65D2A">
            <w:pPr>
              <w:rPr>
                <w:highlight w:val="lightGray"/>
              </w:rPr>
            </w:pPr>
            <w:r w:rsidRPr="0083795B">
              <w:t xml:space="preserve">Not </w:t>
            </w:r>
            <w:r w:rsidR="00FA1AB7">
              <w:rPr>
                <w:rFonts w:eastAsia="Times New Roman" w:cs="Times New Roman"/>
                <w:sz w:val="20"/>
                <w:szCs w:val="20"/>
              </w:rPr>
              <w:t>Applicable</w:t>
            </w:r>
          </w:p>
        </w:tc>
        <w:tc>
          <w:tcPr>
            <w:tcW w:w="1530" w:type="dxa"/>
          </w:tcPr>
          <w:p w:rsidR="00846910" w:rsidRDefault="00846910">
            <w:pPr>
              <w:rPr>
                <w:highlight w:val="lightGray"/>
              </w:rPr>
            </w:pPr>
          </w:p>
        </w:tc>
        <w:tc>
          <w:tcPr>
            <w:tcW w:w="1610" w:type="dxa"/>
          </w:tcPr>
          <w:p w:rsidR="00846910" w:rsidRDefault="00846910">
            <w:pPr>
              <w:rPr>
                <w:highlight w:val="lightGray"/>
              </w:rPr>
            </w:pPr>
          </w:p>
        </w:tc>
        <w:tc>
          <w:tcPr>
            <w:tcW w:w="1505" w:type="dxa"/>
          </w:tcPr>
          <w:p w:rsidR="00846910" w:rsidRDefault="00FA1AB7">
            <w:pPr>
              <w:rPr>
                <w:highlight w:val="lightGray"/>
              </w:rPr>
            </w:pPr>
            <w:r>
              <w:rPr>
                <w:rFonts w:eastAsia="Times New Roman" w:cs="Times New Roman"/>
                <w:sz w:val="20"/>
                <w:szCs w:val="20"/>
              </w:rPr>
              <w:t>Applicable</w:t>
            </w:r>
          </w:p>
        </w:tc>
      </w:tr>
      <w:tr w:rsidR="00846910" w:rsidTr="00A529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1"/>
        </w:trPr>
        <w:tc>
          <w:tcPr>
            <w:tcW w:w="3445" w:type="dxa"/>
            <w:tcBorders>
              <w:top w:val="single" w:sz="4" w:space="0" w:color="auto"/>
              <w:bottom w:val="single" w:sz="4" w:space="0" w:color="auto"/>
            </w:tcBorders>
          </w:tcPr>
          <w:p w:rsidR="00846910" w:rsidRDefault="00846910" w:rsidP="00F20556">
            <w:pPr>
              <w:spacing w:line="240" w:lineRule="auto"/>
              <w:rPr>
                <w:b/>
              </w:rPr>
            </w:pPr>
            <w:r>
              <w:rPr>
                <w:b/>
              </w:rPr>
              <w:t>Grade Level</w:t>
            </w:r>
            <w:r w:rsidR="00A529D6">
              <w:rPr>
                <w:b/>
              </w:rPr>
              <w:t xml:space="preserve"> – 1-2</w:t>
            </w:r>
          </w:p>
        </w:tc>
        <w:tc>
          <w:tcPr>
            <w:tcW w:w="1710" w:type="dxa"/>
          </w:tcPr>
          <w:p w:rsidR="00846910" w:rsidRDefault="00A529D6" w:rsidP="00F20556">
            <w:pPr>
              <w:spacing w:line="240" w:lineRule="auto"/>
            </w:pPr>
            <w:r>
              <w:t xml:space="preserve">Not </w:t>
            </w:r>
            <w:r w:rsidR="00FA1AB7">
              <w:rPr>
                <w:rFonts w:eastAsia="Times New Roman" w:cs="Times New Roman"/>
                <w:sz w:val="20"/>
                <w:szCs w:val="20"/>
              </w:rPr>
              <w:t>Applicable</w:t>
            </w:r>
          </w:p>
        </w:tc>
        <w:tc>
          <w:tcPr>
            <w:tcW w:w="1530" w:type="dxa"/>
          </w:tcPr>
          <w:p w:rsidR="00846910" w:rsidRDefault="00846910" w:rsidP="00F20556">
            <w:pPr>
              <w:spacing w:line="240" w:lineRule="auto"/>
            </w:pPr>
          </w:p>
        </w:tc>
        <w:tc>
          <w:tcPr>
            <w:tcW w:w="1610" w:type="dxa"/>
          </w:tcPr>
          <w:p w:rsidR="00846910" w:rsidRDefault="00846910" w:rsidP="00F20556">
            <w:pPr>
              <w:spacing w:line="240" w:lineRule="auto"/>
            </w:pPr>
          </w:p>
        </w:tc>
        <w:tc>
          <w:tcPr>
            <w:tcW w:w="1505" w:type="dxa"/>
          </w:tcPr>
          <w:p w:rsidR="00846910" w:rsidRDefault="00FA1AB7" w:rsidP="00F20556">
            <w:pPr>
              <w:spacing w:line="240" w:lineRule="auto"/>
            </w:pPr>
            <w:r>
              <w:rPr>
                <w:rFonts w:eastAsia="Times New Roman" w:cs="Times New Roman"/>
                <w:sz w:val="20"/>
                <w:szCs w:val="20"/>
              </w:rPr>
              <w:t>Applicable</w:t>
            </w:r>
          </w:p>
        </w:tc>
      </w:tr>
      <w:tr w:rsidR="00A529D6" w:rsidTr="00A529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1"/>
        </w:trPr>
        <w:tc>
          <w:tcPr>
            <w:tcW w:w="3445" w:type="dxa"/>
            <w:tcBorders>
              <w:top w:val="single" w:sz="4" w:space="0" w:color="auto"/>
              <w:bottom w:val="single" w:sz="4" w:space="0" w:color="auto"/>
            </w:tcBorders>
          </w:tcPr>
          <w:p w:rsidR="00A529D6" w:rsidRDefault="00A529D6" w:rsidP="00F20556">
            <w:pPr>
              <w:spacing w:line="240" w:lineRule="auto"/>
              <w:rPr>
                <w:b/>
              </w:rPr>
            </w:pPr>
            <w:r>
              <w:rPr>
                <w:b/>
              </w:rPr>
              <w:t>Grade Level – 3-4</w:t>
            </w:r>
          </w:p>
        </w:tc>
        <w:tc>
          <w:tcPr>
            <w:tcW w:w="1710" w:type="dxa"/>
          </w:tcPr>
          <w:p w:rsidR="00A529D6" w:rsidRDefault="00A529D6" w:rsidP="00F20556">
            <w:pPr>
              <w:spacing w:line="240" w:lineRule="auto"/>
            </w:pPr>
            <w:r>
              <w:t xml:space="preserve">Not </w:t>
            </w:r>
            <w:r w:rsidR="00FA1AB7">
              <w:rPr>
                <w:rFonts w:eastAsia="Times New Roman" w:cs="Times New Roman"/>
                <w:sz w:val="20"/>
                <w:szCs w:val="20"/>
              </w:rPr>
              <w:t>Applicable</w:t>
            </w:r>
          </w:p>
        </w:tc>
        <w:tc>
          <w:tcPr>
            <w:tcW w:w="1530" w:type="dxa"/>
          </w:tcPr>
          <w:p w:rsidR="00A529D6" w:rsidRDefault="00A529D6" w:rsidP="00F20556">
            <w:pPr>
              <w:spacing w:line="240" w:lineRule="auto"/>
            </w:pPr>
          </w:p>
        </w:tc>
        <w:tc>
          <w:tcPr>
            <w:tcW w:w="1610" w:type="dxa"/>
          </w:tcPr>
          <w:p w:rsidR="00A529D6" w:rsidRDefault="00A529D6" w:rsidP="00F20556">
            <w:pPr>
              <w:spacing w:line="240" w:lineRule="auto"/>
            </w:pPr>
          </w:p>
        </w:tc>
        <w:tc>
          <w:tcPr>
            <w:tcW w:w="1505" w:type="dxa"/>
          </w:tcPr>
          <w:p w:rsidR="00A529D6" w:rsidRDefault="00FA1AB7" w:rsidP="00F20556">
            <w:pPr>
              <w:spacing w:line="240" w:lineRule="auto"/>
            </w:pPr>
            <w:r>
              <w:rPr>
                <w:rFonts w:eastAsia="Times New Roman" w:cs="Times New Roman"/>
                <w:sz w:val="20"/>
                <w:szCs w:val="20"/>
              </w:rPr>
              <w:t>Applicable</w:t>
            </w:r>
          </w:p>
        </w:tc>
      </w:tr>
      <w:tr w:rsidR="00A529D6" w:rsidTr="00A529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1"/>
        </w:trPr>
        <w:tc>
          <w:tcPr>
            <w:tcW w:w="3445" w:type="dxa"/>
            <w:tcBorders>
              <w:top w:val="single" w:sz="4" w:space="0" w:color="auto"/>
              <w:bottom w:val="single" w:sz="4" w:space="0" w:color="auto"/>
            </w:tcBorders>
          </w:tcPr>
          <w:p w:rsidR="00A529D6" w:rsidRDefault="00A529D6" w:rsidP="00F20556">
            <w:pPr>
              <w:spacing w:line="240" w:lineRule="auto"/>
              <w:rPr>
                <w:b/>
              </w:rPr>
            </w:pPr>
            <w:r>
              <w:rPr>
                <w:b/>
              </w:rPr>
              <w:t>Grade Level – 5-6</w:t>
            </w:r>
          </w:p>
        </w:tc>
        <w:tc>
          <w:tcPr>
            <w:tcW w:w="1710" w:type="dxa"/>
          </w:tcPr>
          <w:p w:rsidR="00A529D6" w:rsidRDefault="00A529D6" w:rsidP="00C65D2A">
            <w:pPr>
              <w:spacing w:line="240" w:lineRule="auto"/>
            </w:pPr>
            <w:r>
              <w:t xml:space="preserve">Not </w:t>
            </w:r>
            <w:r w:rsidR="00FA1AB7">
              <w:rPr>
                <w:rFonts w:eastAsia="Times New Roman" w:cs="Times New Roman"/>
                <w:sz w:val="20"/>
                <w:szCs w:val="20"/>
              </w:rPr>
              <w:t>Applicable</w:t>
            </w:r>
          </w:p>
        </w:tc>
        <w:tc>
          <w:tcPr>
            <w:tcW w:w="1530" w:type="dxa"/>
          </w:tcPr>
          <w:p w:rsidR="00A529D6" w:rsidRDefault="00A529D6" w:rsidP="00F20556">
            <w:pPr>
              <w:spacing w:line="240" w:lineRule="auto"/>
            </w:pPr>
          </w:p>
        </w:tc>
        <w:tc>
          <w:tcPr>
            <w:tcW w:w="1610" w:type="dxa"/>
          </w:tcPr>
          <w:p w:rsidR="00A529D6" w:rsidRDefault="00A529D6" w:rsidP="00F20556">
            <w:pPr>
              <w:spacing w:line="240" w:lineRule="auto"/>
            </w:pPr>
          </w:p>
        </w:tc>
        <w:tc>
          <w:tcPr>
            <w:tcW w:w="1505" w:type="dxa"/>
          </w:tcPr>
          <w:p w:rsidR="00A529D6" w:rsidRDefault="00FA1AB7" w:rsidP="00F20556">
            <w:pPr>
              <w:spacing w:line="240" w:lineRule="auto"/>
            </w:pPr>
            <w:r>
              <w:rPr>
                <w:rFonts w:eastAsia="Times New Roman" w:cs="Times New Roman"/>
                <w:sz w:val="20"/>
                <w:szCs w:val="20"/>
              </w:rPr>
              <w:t>Applicable</w:t>
            </w:r>
          </w:p>
        </w:tc>
      </w:tr>
      <w:tr w:rsidR="00A529D6" w:rsidTr="008469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1"/>
        </w:trPr>
        <w:tc>
          <w:tcPr>
            <w:tcW w:w="3445" w:type="dxa"/>
            <w:tcBorders>
              <w:top w:val="single" w:sz="4" w:space="0" w:color="auto"/>
            </w:tcBorders>
          </w:tcPr>
          <w:p w:rsidR="00A529D6" w:rsidRDefault="00A529D6" w:rsidP="00F20556">
            <w:pPr>
              <w:spacing w:line="240" w:lineRule="auto"/>
              <w:rPr>
                <w:b/>
              </w:rPr>
            </w:pPr>
            <w:r>
              <w:rPr>
                <w:b/>
              </w:rPr>
              <w:t>Grade Level – 7-8</w:t>
            </w:r>
          </w:p>
        </w:tc>
        <w:tc>
          <w:tcPr>
            <w:tcW w:w="1710" w:type="dxa"/>
          </w:tcPr>
          <w:p w:rsidR="00A529D6" w:rsidRDefault="00A529D6" w:rsidP="00C65D2A">
            <w:pPr>
              <w:spacing w:line="240" w:lineRule="auto"/>
            </w:pPr>
            <w:r>
              <w:t xml:space="preserve">Not </w:t>
            </w:r>
            <w:r w:rsidR="00FA1AB7">
              <w:rPr>
                <w:rFonts w:eastAsia="Times New Roman" w:cs="Times New Roman"/>
                <w:sz w:val="20"/>
                <w:szCs w:val="20"/>
              </w:rPr>
              <w:t>Applicable</w:t>
            </w:r>
          </w:p>
        </w:tc>
        <w:tc>
          <w:tcPr>
            <w:tcW w:w="1530" w:type="dxa"/>
          </w:tcPr>
          <w:p w:rsidR="00A529D6" w:rsidRDefault="00A529D6" w:rsidP="00F20556">
            <w:pPr>
              <w:spacing w:line="240" w:lineRule="auto"/>
            </w:pPr>
          </w:p>
        </w:tc>
        <w:tc>
          <w:tcPr>
            <w:tcW w:w="1610" w:type="dxa"/>
          </w:tcPr>
          <w:p w:rsidR="00A529D6" w:rsidRDefault="00A529D6" w:rsidP="00F20556">
            <w:pPr>
              <w:spacing w:line="240" w:lineRule="auto"/>
            </w:pPr>
          </w:p>
        </w:tc>
        <w:tc>
          <w:tcPr>
            <w:tcW w:w="1505" w:type="dxa"/>
          </w:tcPr>
          <w:p w:rsidR="00A529D6" w:rsidRDefault="00FA1AB7" w:rsidP="00F20556">
            <w:pPr>
              <w:spacing w:line="240" w:lineRule="auto"/>
            </w:pPr>
            <w:r>
              <w:rPr>
                <w:rFonts w:eastAsia="Times New Roman" w:cs="Times New Roman"/>
                <w:sz w:val="20"/>
                <w:szCs w:val="20"/>
              </w:rPr>
              <w:t>Applicable</w:t>
            </w:r>
          </w:p>
        </w:tc>
      </w:tr>
    </w:tbl>
    <w:p w:rsidR="002D46DD" w:rsidRDefault="002D46DD" w:rsidP="00F20556">
      <w:pPr>
        <w:spacing w:line="240" w:lineRule="auto"/>
      </w:pPr>
    </w:p>
    <w:p w:rsidR="002D46DD" w:rsidRDefault="002D46DD" w:rsidP="00F20556">
      <w:pPr>
        <w:spacing w:line="240" w:lineRule="auto"/>
      </w:pPr>
    </w:p>
    <w:sectPr w:rsidR="002D46DD" w:rsidSect="002B0BA9">
      <w:headerReference w:type="default" r:id="rId9"/>
      <w:footerReference w:type="default" r:id="rId10"/>
      <w:head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35C4" w:rsidRDefault="00F635C4" w:rsidP="00EF00F3">
      <w:pPr>
        <w:spacing w:after="0" w:line="240" w:lineRule="auto"/>
      </w:pPr>
      <w:r>
        <w:separator/>
      </w:r>
    </w:p>
  </w:endnote>
  <w:endnote w:type="continuationSeparator" w:id="0">
    <w:p w:rsidR="00F635C4" w:rsidRDefault="00F635C4" w:rsidP="00EF00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6407314"/>
      <w:docPartObj>
        <w:docPartGallery w:val="Page Numbers (Bottom of Page)"/>
        <w:docPartUnique/>
      </w:docPartObj>
    </w:sdtPr>
    <w:sdtEndPr/>
    <w:sdtContent>
      <w:p w:rsidR="00F635C4" w:rsidRDefault="00FE5A09">
        <w:pPr>
          <w:pStyle w:val="Footer"/>
          <w:jc w:val="right"/>
        </w:pPr>
        <w:r>
          <w:fldChar w:fldCharType="begin"/>
        </w:r>
        <w:r>
          <w:instrText xml:space="preserve"> PAGE   \* MERGEFORMAT </w:instrText>
        </w:r>
        <w:r>
          <w:fldChar w:fldCharType="separate"/>
        </w:r>
        <w:r>
          <w:rPr>
            <w:noProof/>
          </w:rPr>
          <w:t>4</w:t>
        </w:r>
        <w:r>
          <w:rPr>
            <w:noProof/>
          </w:rPr>
          <w:fldChar w:fldCharType="end"/>
        </w:r>
      </w:p>
    </w:sdtContent>
  </w:sdt>
  <w:p w:rsidR="00F635C4" w:rsidRDefault="00F635C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35C4" w:rsidRDefault="00F635C4" w:rsidP="00EF00F3">
      <w:pPr>
        <w:spacing w:after="0" w:line="240" w:lineRule="auto"/>
      </w:pPr>
      <w:r>
        <w:separator/>
      </w:r>
    </w:p>
  </w:footnote>
  <w:footnote w:type="continuationSeparator" w:id="0">
    <w:p w:rsidR="00F635C4" w:rsidRDefault="00F635C4" w:rsidP="00EF00F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35C4" w:rsidRDefault="00F635C4">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p>
  <w:p w:rsidR="00F635C4" w:rsidRDefault="00F635C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35C4" w:rsidRPr="002B0BA9" w:rsidRDefault="00F635C4">
    <w:pPr>
      <w:pStyle w:val="Header"/>
      <w:rPr>
        <w:sz w:val="36"/>
        <w:szCs w:val="36"/>
      </w:rPr>
    </w:pPr>
    <w:r w:rsidRPr="002B0BA9">
      <w:rPr>
        <w:sz w:val="36"/>
        <w:szCs w:val="36"/>
      </w:rPr>
      <w:t>Elementary Education Methods Lesson Plan Rubric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D9F0209"/>
    <w:multiLevelType w:val="hybridMultilevel"/>
    <w:tmpl w:val="79CC240E"/>
    <w:lvl w:ilvl="0" w:tplc="83AE12CC">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16B4"/>
    <w:rsid w:val="000B7FDF"/>
    <w:rsid w:val="000C2119"/>
    <w:rsid w:val="000E09A3"/>
    <w:rsid w:val="000F62D0"/>
    <w:rsid w:val="001032C6"/>
    <w:rsid w:val="0010629D"/>
    <w:rsid w:val="00114E22"/>
    <w:rsid w:val="0012717E"/>
    <w:rsid w:val="0013749F"/>
    <w:rsid w:val="00161AB2"/>
    <w:rsid w:val="0017622F"/>
    <w:rsid w:val="001C0EC3"/>
    <w:rsid w:val="002136AE"/>
    <w:rsid w:val="00224AB6"/>
    <w:rsid w:val="00247FAA"/>
    <w:rsid w:val="00270EA9"/>
    <w:rsid w:val="00275334"/>
    <w:rsid w:val="002843F4"/>
    <w:rsid w:val="002B0844"/>
    <w:rsid w:val="002B0BA9"/>
    <w:rsid w:val="002B103F"/>
    <w:rsid w:val="002D46DD"/>
    <w:rsid w:val="00326ACA"/>
    <w:rsid w:val="00370248"/>
    <w:rsid w:val="00371B80"/>
    <w:rsid w:val="00371E9A"/>
    <w:rsid w:val="00380791"/>
    <w:rsid w:val="003A440A"/>
    <w:rsid w:val="003C4830"/>
    <w:rsid w:val="003E1D60"/>
    <w:rsid w:val="003E4793"/>
    <w:rsid w:val="0041207B"/>
    <w:rsid w:val="00474351"/>
    <w:rsid w:val="00515E49"/>
    <w:rsid w:val="00516B08"/>
    <w:rsid w:val="00562062"/>
    <w:rsid w:val="0057456A"/>
    <w:rsid w:val="00597EE7"/>
    <w:rsid w:val="005D446D"/>
    <w:rsid w:val="0061373C"/>
    <w:rsid w:val="00631AFF"/>
    <w:rsid w:val="00646A30"/>
    <w:rsid w:val="006627D5"/>
    <w:rsid w:val="00682B60"/>
    <w:rsid w:val="006B13A3"/>
    <w:rsid w:val="006E3144"/>
    <w:rsid w:val="00711886"/>
    <w:rsid w:val="00743F30"/>
    <w:rsid w:val="007C74A7"/>
    <w:rsid w:val="007D3824"/>
    <w:rsid w:val="007E10D4"/>
    <w:rsid w:val="007E5850"/>
    <w:rsid w:val="007F3954"/>
    <w:rsid w:val="007F7FF0"/>
    <w:rsid w:val="00836845"/>
    <w:rsid w:val="0083795B"/>
    <w:rsid w:val="00846910"/>
    <w:rsid w:val="008767AE"/>
    <w:rsid w:val="008C5B0B"/>
    <w:rsid w:val="008E4F5B"/>
    <w:rsid w:val="008F0595"/>
    <w:rsid w:val="00901374"/>
    <w:rsid w:val="0092197E"/>
    <w:rsid w:val="009433EC"/>
    <w:rsid w:val="00962A65"/>
    <w:rsid w:val="009721C6"/>
    <w:rsid w:val="00975E15"/>
    <w:rsid w:val="009D3B93"/>
    <w:rsid w:val="00A216B4"/>
    <w:rsid w:val="00A3266C"/>
    <w:rsid w:val="00A42DC6"/>
    <w:rsid w:val="00A4371E"/>
    <w:rsid w:val="00A469C4"/>
    <w:rsid w:val="00A529D6"/>
    <w:rsid w:val="00A53EE6"/>
    <w:rsid w:val="00AC3A1F"/>
    <w:rsid w:val="00B14626"/>
    <w:rsid w:val="00B15A13"/>
    <w:rsid w:val="00B848F6"/>
    <w:rsid w:val="00B925E4"/>
    <w:rsid w:val="00BF2DAE"/>
    <w:rsid w:val="00C4536B"/>
    <w:rsid w:val="00C47ADE"/>
    <w:rsid w:val="00C62348"/>
    <w:rsid w:val="00C65D2A"/>
    <w:rsid w:val="00C708AB"/>
    <w:rsid w:val="00CD603C"/>
    <w:rsid w:val="00CF3B50"/>
    <w:rsid w:val="00CF52A1"/>
    <w:rsid w:val="00D11A9D"/>
    <w:rsid w:val="00D45458"/>
    <w:rsid w:val="00D50816"/>
    <w:rsid w:val="00D81E99"/>
    <w:rsid w:val="00DA1382"/>
    <w:rsid w:val="00DE53F0"/>
    <w:rsid w:val="00E337D6"/>
    <w:rsid w:val="00E4529E"/>
    <w:rsid w:val="00EC0BBD"/>
    <w:rsid w:val="00EF00F3"/>
    <w:rsid w:val="00F20556"/>
    <w:rsid w:val="00F27AA9"/>
    <w:rsid w:val="00F635C4"/>
    <w:rsid w:val="00F85FCC"/>
    <w:rsid w:val="00FA1AB7"/>
    <w:rsid w:val="00FE18E3"/>
    <w:rsid w:val="00FE5A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5:docId w15:val="{8B65CBFC-6D7F-43ED-8712-1F997DB87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53F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00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00F3"/>
  </w:style>
  <w:style w:type="paragraph" w:styleId="Footer">
    <w:name w:val="footer"/>
    <w:basedOn w:val="Normal"/>
    <w:link w:val="FooterChar"/>
    <w:uiPriority w:val="99"/>
    <w:unhideWhenUsed/>
    <w:rsid w:val="00EF00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00F3"/>
  </w:style>
  <w:style w:type="paragraph" w:styleId="BalloonText">
    <w:name w:val="Balloon Text"/>
    <w:basedOn w:val="Normal"/>
    <w:link w:val="BalloonTextChar"/>
    <w:uiPriority w:val="99"/>
    <w:semiHidden/>
    <w:unhideWhenUsed/>
    <w:rsid w:val="00EF00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00F3"/>
    <w:rPr>
      <w:rFonts w:ascii="Tahoma" w:hAnsi="Tahoma" w:cs="Tahoma"/>
      <w:sz w:val="16"/>
      <w:szCs w:val="16"/>
    </w:rPr>
  </w:style>
  <w:style w:type="paragraph" w:styleId="ListParagraph">
    <w:name w:val="List Paragraph"/>
    <w:basedOn w:val="Normal"/>
    <w:uiPriority w:val="34"/>
    <w:qFormat/>
    <w:rsid w:val="00A53EE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2174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Date:</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2B30215-535E-400C-83DB-79D9F002E0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1098</Words>
  <Characters>6263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page 4</vt:lpstr>
    </vt:vector>
  </TitlesOfParts>
  <Company>Oral Roberts University</Company>
  <LinksUpToDate>false</LinksUpToDate>
  <CharactersWithSpaces>7347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page 4</dc:title>
  <dc:subject/>
  <dc:creator>kboyd</dc:creator>
  <cp:keywords/>
  <dc:description/>
  <cp:lastModifiedBy>Rachel Stoll</cp:lastModifiedBy>
  <cp:revision>2</cp:revision>
  <cp:lastPrinted>2011-08-22T21:13:00Z</cp:lastPrinted>
  <dcterms:created xsi:type="dcterms:W3CDTF">2017-06-13T19:20:00Z</dcterms:created>
  <dcterms:modified xsi:type="dcterms:W3CDTF">2017-06-13T19:20:00Z</dcterms:modified>
</cp:coreProperties>
</file>